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3" w:line="260" w:lineRule="exact"/>
        <w:ind w:left="5320" w:right="0" w:firstLine="0"/>
      </w:pPr>
      <w:r>
        <w:rPr>
          <w:lang w:val="ru-RU" w:eastAsia="ru-RU" w:bidi="ru-RU"/>
          <w:w w:val="100"/>
          <w:spacing w:val="0"/>
          <w:color w:val="000000"/>
          <w:position w:val="0"/>
        </w:rPr>
        <w:t>СС и НМП им. А.С. Пучкова</w:t>
      </w:r>
    </w:p>
    <w:p>
      <w:pPr>
        <w:pStyle w:val="Style5"/>
        <w:tabs>
          <w:tab w:leader="none" w:pos="9952" w:val="right"/>
        </w:tabs>
        <w:widowControl w:val="0"/>
        <w:keepNext w:val="0"/>
        <w:keepLines w:val="0"/>
        <w:shd w:val="clear" w:color="auto" w:fill="auto"/>
        <w:bidi w:val="0"/>
        <w:spacing w:before="0" w:after="0" w:line="322" w:lineRule="exact"/>
        <w:ind w:left="5320" w:right="0" w:firstLine="0"/>
      </w:pPr>
      <w:r>
        <w:rPr>
          <w:lang w:val="ru-RU" w:eastAsia="ru-RU" w:bidi="ru-RU"/>
          <w:w w:val="100"/>
          <w:spacing w:val="0"/>
          <w:color w:val="000000"/>
          <w:position w:val="0"/>
        </w:rPr>
        <w:t>1-й Коптельский пер., д. 3,</w:t>
        <w:tab/>
        <w:t>стр.</w:t>
      </w:r>
    </w:p>
    <w:p>
      <w:pPr>
        <w:pStyle w:val="Style5"/>
        <w:widowControl w:val="0"/>
        <w:keepNext w:val="0"/>
        <w:keepLines w:val="0"/>
        <w:shd w:val="clear" w:color="auto" w:fill="auto"/>
        <w:bidi w:val="0"/>
        <w:spacing w:before="0" w:after="349" w:line="322" w:lineRule="exact"/>
        <w:ind w:left="5320" w:right="0" w:firstLine="0"/>
      </w:pPr>
      <w:r>
        <w:rPr>
          <w:lang w:val="ru-RU" w:eastAsia="ru-RU" w:bidi="ru-RU"/>
          <w:w w:val="100"/>
          <w:spacing w:val="0"/>
          <w:color w:val="000000"/>
          <w:position w:val="0"/>
        </w:rPr>
        <w:t xml:space="preserve">1, г. Москва, 129090, </w:t>
      </w:r>
      <w:r>
        <w:fldChar w:fldCharType="begin"/>
      </w:r>
      <w:r>
        <w:rPr>
          <w:color w:val="000000"/>
        </w:rPr>
        <w:instrText> HYPERLINK "mailto:zakupki@03msk.ru" </w:instrText>
      </w:r>
      <w:r>
        <w:fldChar w:fldCharType="separate"/>
      </w:r>
      <w:r>
        <w:rPr>
          <w:rStyle w:val="Hyperlink"/>
          <w:lang w:val="en-US" w:eastAsia="en-US" w:bidi="en-US"/>
          <w:w w:val="100"/>
          <w:spacing w:val="0"/>
          <w:position w:val="0"/>
        </w:rPr>
        <w:t>zakupki@03msk.ru</w:t>
      </w:r>
      <w:r>
        <w:fldChar w:fldCharType="end"/>
      </w:r>
    </w:p>
    <w:p>
      <w:pPr>
        <w:pStyle w:val="Style5"/>
        <w:widowControl w:val="0"/>
        <w:keepNext w:val="0"/>
        <w:keepLines w:val="0"/>
        <w:shd w:val="clear" w:color="auto" w:fill="auto"/>
        <w:bidi w:val="0"/>
        <w:spacing w:before="0" w:after="303" w:line="260" w:lineRule="exact"/>
        <w:ind w:left="5320" w:right="0" w:firstLine="0"/>
      </w:pPr>
      <w:r>
        <w:rPr>
          <w:lang w:val="ru-RU" w:eastAsia="ru-RU" w:bidi="ru-RU"/>
          <w:w w:val="100"/>
          <w:spacing w:val="0"/>
          <w:color w:val="000000"/>
          <w:position w:val="0"/>
        </w:rPr>
        <w:t>ООО «ЛОГОС»</w:t>
      </w:r>
    </w:p>
    <w:p>
      <w:pPr>
        <w:pStyle w:val="Style5"/>
        <w:widowControl w:val="0"/>
        <w:keepNext w:val="0"/>
        <w:keepLines w:val="0"/>
        <w:shd w:val="clear" w:color="auto" w:fill="auto"/>
        <w:bidi w:val="0"/>
        <w:jc w:val="left"/>
        <w:spacing w:before="0" w:after="1680" w:line="322" w:lineRule="exact"/>
        <w:ind w:left="5320" w:right="260" w:firstLine="0"/>
      </w:pPr>
      <w:r>
        <w:rPr>
          <w:lang w:val="ru-RU" w:eastAsia="ru-RU" w:bidi="ru-RU"/>
          <w:w w:val="100"/>
          <w:spacing w:val="0"/>
          <w:color w:val="000000"/>
          <w:position w:val="0"/>
        </w:rPr>
        <w:t xml:space="preserve">Балтийская ул., д. 3, лит. А. пом. 1-Н, г. Санкт-Петербург, 198095, </w:t>
      </w:r>
      <w:r>
        <w:fldChar w:fldCharType="begin"/>
      </w:r>
      <w:r>
        <w:rPr>
          <w:color w:val="000000"/>
        </w:rPr>
        <w:instrText> HYPERLINK "mailto:info@spblogos.ru" </w:instrText>
      </w:r>
      <w:r>
        <w:fldChar w:fldCharType="separate"/>
      </w:r>
      <w:r>
        <w:rPr>
          <w:rStyle w:val="Hyperlink"/>
          <w:lang w:val="en-US" w:eastAsia="en-US" w:bidi="en-US"/>
          <w:w w:val="100"/>
          <w:spacing w:val="0"/>
          <w:position w:val="0"/>
        </w:rPr>
        <w:t>info@spblogos.ru</w:t>
      </w:r>
      <w:r>
        <w:fldChar w:fldCharType="end"/>
      </w:r>
    </w:p>
    <w:p>
      <w:pPr>
        <w:pStyle w:val="Style7"/>
        <w:tabs>
          <w:tab w:leader="none" w:pos="8564" w:val="center"/>
          <w:tab w:leader="none" w:pos="8801" w:val="left"/>
        </w:tabs>
        <w:widowControl w:val="0"/>
        <w:keepNext w:val="0"/>
        <w:keepLines w:val="0"/>
        <w:shd w:val="clear" w:color="auto" w:fill="auto"/>
        <w:bidi w:val="0"/>
        <w:jc w:val="left"/>
        <w:spacing w:before="0" w:after="0"/>
        <w:ind w:left="20" w:right="520"/>
      </w:pPr>
      <w:r>
        <w:rPr>
          <w:lang w:val="ru-RU" w:eastAsia="ru-RU" w:bidi="ru-RU"/>
          <w:w w:val="100"/>
          <w:spacing w:val="0"/>
          <w:color w:val="000000"/>
          <w:position w:val="0"/>
        </w:rPr>
        <w:t>РЕШЕНИЕ по делу № 077/06/106-556/2021 о нарушении законодательства о контрактной системе 20.01.2021</w:t>
        <w:tab/>
        <w:t>г.</w:t>
        <w:tab/>
        <w:t>Москва</w:t>
      </w:r>
    </w:p>
    <w:p>
      <w:pPr>
        <w:pStyle w:val="Style5"/>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Д.А. Аносова,</w:t>
      </w:r>
    </w:p>
    <w:p>
      <w:pPr>
        <w:pStyle w:val="Style5"/>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left"/>
        <w:spacing w:before="0" w:after="0" w:line="322" w:lineRule="exact"/>
        <w:ind w:left="20" w:right="20" w:firstLine="5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СС и НМП им. А.С. Пучкова:Л.А. Татусовой (по доверенности от 12.01.2021 №1-14/39),</w:t>
      </w:r>
    </w:p>
    <w:p>
      <w:pPr>
        <w:pStyle w:val="Style3"/>
        <w:framePr w:w="1349" w:h="427" w:wrap="around" w:vAnchor="text" w:hAnchor="margin" w:x="351" w:y="208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001074589708</w:t>
      </w:r>
    </w:p>
    <w:p>
      <w:pPr>
        <w:pStyle w:val="Style5"/>
        <w:widowControl w:val="0"/>
        <w:keepNext w:val="0"/>
        <w:keepLines w:val="0"/>
        <w:shd w:val="clear" w:color="auto" w:fill="auto"/>
        <w:bidi w:val="0"/>
        <w:spacing w:before="0" w:after="116" w:line="322" w:lineRule="exact"/>
        <w:ind w:left="20" w:right="20" w:firstLine="580"/>
        <w:sectPr>
          <w:footnotePr>
            <w:pos w:val="pageBottom"/>
            <w:numFmt w:val="decimal"/>
            <w:numRestart w:val="continuous"/>
          </w:footnotePr>
          <w:type w:val="continuous"/>
          <w:pgSz w:w="11906" w:h="16838"/>
          <w:pgMar w:top="669" w:left="843" w:right="848" w:bottom="1168" w:header="0" w:footer="3" w:gutter="0"/>
          <w:rtlGutter w:val="0"/>
          <w:cols w:space="720"/>
          <w:noEndnote/>
          <w:docGrid w:linePitch="360"/>
        </w:sectPr>
      </w:pPr>
      <w:r>
        <w:rPr>
          <w:lang w:val="ru-RU" w:eastAsia="ru-RU" w:bidi="ru-RU"/>
          <w:w w:val="100"/>
          <w:spacing w:val="0"/>
          <w:color w:val="000000"/>
          <w:position w:val="0"/>
        </w:rPr>
        <w:t xml:space="preserve">ООО «ЛОГОС»: В.Н. Гущина (по доверенности от 21.12.2020 №б/н), рассмотрев жалобу ООО «ЛОГОС» (далее — Заявитель) на действия СС и НМП им. А.С. Пучкова (далее — Заказчик) при проведении электронного аукциона на право заключения государственного контракта на поставку датчиков пульсоксиметрических, тип </w:t>
      </w:r>
      <w:r>
        <w:rPr>
          <w:lang w:val="en-US" w:eastAsia="en-US" w:bidi="en-US"/>
          <w:w w:val="100"/>
          <w:spacing w:val="0"/>
          <w:color w:val="000000"/>
          <w:position w:val="0"/>
        </w:rPr>
        <w:t xml:space="preserve">Nellcor, </w:t>
      </w:r>
      <w:r>
        <w:rPr>
          <w:lang w:val="ru-RU" w:eastAsia="ru-RU" w:bidi="ru-RU"/>
          <w:w w:val="100"/>
          <w:spacing w:val="0"/>
          <w:color w:val="000000"/>
          <w:position w:val="0"/>
        </w:rPr>
        <w:t>однократного применения для нужд СС и НМП им. А.С. Пучкова (Закупка № 0373200000620000262) (далее — аукцион) в</w:t>
      </w:r>
    </w:p>
    <w:p>
      <w:pPr>
        <w:pStyle w:val="Style5"/>
        <w:widowControl w:val="0"/>
        <w:keepNext w:val="0"/>
        <w:keepLines w:val="0"/>
        <w:shd w:val="clear" w:color="auto" w:fill="auto"/>
        <w:bidi w:val="0"/>
        <w:spacing w:before="0" w:after="300" w:line="322" w:lineRule="exact"/>
        <w:ind w:left="0" w:right="20" w:firstLine="0"/>
      </w:pPr>
      <w:r>
        <w:rPr>
          <w:lang w:val="ru-RU" w:eastAsia="ru-RU" w:bidi="ru-RU"/>
          <w:w w:val="100"/>
          <w:spacing w:val="0"/>
          <w:color w:val="000000"/>
          <w:position w:val="0"/>
        </w:rPr>
        <w:t>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0"/>
        <w:ind w:left="436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15.01.2021 №ЕИ/1647/21.</w:t>
      </w:r>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12.01.2021 №ППУ1 на основании непредставления им обоснования предлагаемой цены контракта, предусмотренного ч.9 ст.37 Закона о контрактной системе.</w:t>
      </w:r>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В соответствии с протоколом подведения итогов электронного аукциона от 25.12.2020 №0373200000620000262-3 ООО «ЛОГОС» признано победителем аукциона в электронной форме с предложением о цене контракта 376 019,50 рублей, что составляет снижение начальной (максимальной) цены контракта на 64,34 %.</w:t>
      </w:r>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На основании ч.1 ст.83.2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Законом о контрактной системе,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5"/>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w:t>
      </w:r>
    </w:p>
    <w:p>
      <w:pPr>
        <w:pStyle w:val="Style5"/>
        <w:tabs>
          <w:tab w:leader="none" w:pos="1201"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ч.23</w:t>
        <w:tab/>
        <w:t>ст.68 Закона о контрактной системе, информации</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о товаре (товарном знаке и (или) конкретных показателях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tabs>
          <w:tab w:leader="none" w:pos="2545" w:val="lef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силу ч.2 ст.37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ч.1</w:t>
        <w:tab/>
        <w:t>ст.37 Закона о контрактной системе, или информации,</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подтверждающей добросовестность такого участника в соответствии с ч.3 ст.37 Закона о контрактной системе,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Комиссией Управления установлено, что в рамках рассматриваемой закупочной процедуры установлено ограничение в соответствии с положениями п.1 ч.1 ст. 30 Закона о контрактной системе.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ч.8.1 ст. 96 Закона о контрактной системе участник закупки, с которым заключается контракт по результатам определения поставщика (подрядчика, исполнителя) в соответствии с п.1 ч.1 ст. 30 Закона о контрактной системе, освобождается от предоставления обеспечения исполнения контракта, в том числе с учетом положений ст.37 Закона о контрактной системе, об обеспечении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При этом в силу ч.9 ст.37 Закона о контрактной системе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Style5"/>
        <w:tabs>
          <w:tab w:leader="none" w:pos="7268" w:val="lef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п.7 Технического задания установлены требования о соблюдении условий, предусмотренных ст.37 Закона о контрактной системе. Кроме того в единой информационной системе также напрямую указано:</w:t>
        <w:tab/>
        <w:t>«Предметом контракта</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является поставка товара, необходимого для нормального жизнеобеспечения в случаях, указанных в части 9 статьи 37 Федерального закона 44-ФЗ - Да».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Как установлено на заседании Комиссии Управления победителем аукциона в срок, установленный ч. 3 ст. 83.2 Закона о контрактной системе, направлен в адрес Заказчика проект контракта, подписанный обществом, а также во исполнение ч.8.1 ст.96 Закона о контрактной системе реестровые записи контрактов за последние три года, общая сумма которых составила 3 846 003,38 рублей.</w:t>
      </w:r>
    </w:p>
    <w:p>
      <w:pPr>
        <w:pStyle w:val="Style5"/>
        <w:widowControl w:val="0"/>
        <w:keepNext w:val="0"/>
        <w:keepLines w:val="0"/>
        <w:shd w:val="clear" w:color="auto" w:fill="auto"/>
        <w:bidi w:val="0"/>
        <w:spacing w:before="0" w:after="0" w:line="322" w:lineRule="exact"/>
        <w:ind w:left="120" w:right="60" w:firstLine="720"/>
      </w:pPr>
      <w:r>
        <w:rPr>
          <w:lang w:val="ru-RU" w:eastAsia="ru-RU" w:bidi="ru-RU"/>
          <w:w w:val="100"/>
          <w:spacing w:val="0"/>
          <w:color w:val="000000"/>
          <w:position w:val="0"/>
        </w:rPr>
        <w:t>При этом Заявителем не были представлены сведения об обосновании предлагаемой им цены контракта в соответствии с требованиями ч.9 ст.37 Закона о контрактной системе.</w:t>
      </w:r>
    </w:p>
    <w:p>
      <w:pPr>
        <w:pStyle w:val="Style5"/>
        <w:widowControl w:val="0"/>
        <w:keepNext w:val="0"/>
        <w:keepLines w:val="0"/>
        <w:shd w:val="clear" w:color="auto" w:fill="auto"/>
        <w:bidi w:val="0"/>
        <w:spacing w:before="0" w:after="0" w:line="322" w:lineRule="exact"/>
        <w:ind w:left="120" w:right="60" w:firstLine="72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spacing w:before="0" w:after="0" w:line="322" w:lineRule="exact"/>
        <w:ind w:left="120" w:right="60" w:firstLine="720"/>
      </w:pPr>
      <w:r>
        <w:rPr>
          <w:lang w:val="ru-RU" w:eastAsia="ru-RU" w:bidi="ru-RU"/>
          <w:w w:val="100"/>
          <w:spacing w:val="0"/>
          <w:color w:val="000000"/>
          <w:position w:val="0"/>
        </w:rPr>
        <w:t>На заседании Комиссии Управления представитель Заявителя пояснил, что поскольку ч.9 ст.37 Закона о контрактной системе допускает представлен иные документы и расчеты, подтверждающие возможность участника закупки осуществить поставку товара по предлагаемым цене, сумме цен единиц товара, Заявителем, в Приложении №2 к проекту контракта приложен расчет цены предлагаемого товара, а именно:</w:t>
      </w:r>
    </w:p>
    <w:p>
      <w:pPr>
        <w:pStyle w:val="Style5"/>
        <w:tabs>
          <w:tab w:leader="underscore" w:pos="8918" w:val="right"/>
          <w:tab w:leader="none" w:pos="9682" w:val="right"/>
          <w:tab w:leader="none" w:pos="10330" w:val="right"/>
        </w:tabs>
        <w:widowControl w:val="0"/>
        <w:keepNext w:val="0"/>
        <w:keepLines w:val="0"/>
        <w:shd w:val="clear" w:color="auto" w:fill="auto"/>
        <w:bidi w:val="0"/>
        <w:jc w:val="left"/>
        <w:spacing w:before="0" w:after="305" w:line="274" w:lineRule="exact"/>
        <w:ind w:left="6840" w:right="60" w:firstLine="420"/>
      </w:pPr>
      <w:r>
        <w:rPr>
          <w:lang w:val="ru-RU" w:eastAsia="ru-RU" w:bidi="ru-RU"/>
          <w:w w:val="100"/>
          <w:spacing w:val="0"/>
          <w:color w:val="000000"/>
          <w:position w:val="0"/>
        </w:rPr>
        <w:t>Приложение № 2 к Контракту № А-262/20 от "</w:t>
        <w:tab/>
        <w:t>"</w:t>
        <w:tab/>
        <w:t>января</w:t>
        <w:tab/>
        <w:t>2021г</w:t>
      </w:r>
    </w:p>
    <w:p>
      <w:pPr>
        <w:pStyle w:val="Style11"/>
        <w:framePr w:w="10219"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РАСЧЕТ ЦЕНЫ*</w:t>
      </w:r>
    </w:p>
    <w:tbl>
      <w:tblPr>
        <w:tblOverlap w:val="never"/>
        <w:tblLayout w:type="fixed"/>
        <w:jc w:val="center"/>
      </w:tblPr>
      <w:tblGrid>
        <w:gridCol w:w="346"/>
        <w:gridCol w:w="2702"/>
        <w:gridCol w:w="1800"/>
        <w:gridCol w:w="936"/>
        <w:gridCol w:w="1325"/>
        <w:gridCol w:w="1363"/>
        <w:gridCol w:w="1747"/>
      </w:tblGrid>
      <w:tr>
        <w:trPr>
          <w:trHeight w:val="1584" w:hRule="exact"/>
        </w:trPr>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93" w:lineRule="exact"/>
              <w:ind w:left="80" w:right="0" w:firstLine="0"/>
            </w:pPr>
            <w:r>
              <w:rPr>
                <w:rStyle w:val="CharStyle13"/>
              </w:rPr>
              <w:t>№</w:t>
            </w:r>
          </w:p>
          <w:p>
            <w:pPr>
              <w:pStyle w:val="Style5"/>
              <w:framePr w:w="10219" w:wrap="notBeside" w:vAnchor="text" w:hAnchor="text" w:xAlign="center" w:y="1"/>
              <w:widowControl w:val="0"/>
              <w:keepNext w:val="0"/>
              <w:keepLines w:val="0"/>
              <w:shd w:val="clear" w:color="auto" w:fill="auto"/>
              <w:bidi w:val="0"/>
              <w:jc w:val="left"/>
              <w:spacing w:before="0" w:after="0" w:line="293" w:lineRule="exact"/>
              <w:ind w:left="80" w:right="0" w:firstLine="0"/>
            </w:pPr>
            <w:r>
              <w:rPr>
                <w:rStyle w:val="CharStyle13"/>
              </w:rPr>
              <w:t>п/</w:t>
            </w:r>
          </w:p>
          <w:p>
            <w:pPr>
              <w:pStyle w:val="Style5"/>
              <w:framePr w:w="10219" w:wrap="notBeside" w:vAnchor="text" w:hAnchor="text" w:xAlign="center" w:y="1"/>
              <w:widowControl w:val="0"/>
              <w:keepNext w:val="0"/>
              <w:keepLines w:val="0"/>
              <w:shd w:val="clear" w:color="auto" w:fill="auto"/>
              <w:bidi w:val="0"/>
              <w:jc w:val="left"/>
              <w:spacing w:before="0" w:after="0" w:line="293" w:lineRule="exact"/>
              <w:ind w:left="80" w:right="0" w:firstLine="0"/>
            </w:pPr>
            <w:r>
              <w:rPr>
                <w:rStyle w:val="CharStyle13"/>
              </w:rPr>
              <w:t>п</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98" w:lineRule="exact"/>
              <w:ind w:left="0" w:right="0" w:firstLine="0"/>
            </w:pPr>
            <w:r>
              <w:rPr>
                <w:rStyle w:val="CharStyle13"/>
              </w:rPr>
              <w:t>Перечень поставляемых товаров</w:t>
            </w:r>
          </w:p>
        </w:tc>
        <w:tc>
          <w:tcPr>
            <w:shd w:val="clear" w:color="auto" w:fill="FFFFFF"/>
            <w:tcBorders>
              <w:left w:val="single" w:sz="4"/>
              <w:top w:val="single" w:sz="4"/>
            </w:tcBorders>
            <w:vAlign w:val="top"/>
          </w:tcPr>
          <w:p>
            <w:pPr>
              <w:pStyle w:val="Style5"/>
              <w:framePr w:w="10219" w:wrap="notBeside" w:vAnchor="text" w:hAnchor="text" w:xAlign="center" w:y="1"/>
              <w:widowControl w:val="0"/>
              <w:keepNext w:val="0"/>
              <w:keepLines w:val="0"/>
              <w:shd w:val="clear" w:color="auto" w:fill="auto"/>
              <w:bidi w:val="0"/>
              <w:jc w:val="center"/>
              <w:spacing w:before="0" w:after="0" w:line="298" w:lineRule="exact"/>
              <w:ind w:left="0" w:right="0" w:firstLine="0"/>
            </w:pPr>
            <w:r>
              <w:rPr>
                <w:rStyle w:val="CharStyle13"/>
              </w:rPr>
              <w:t>Производитель</w:t>
            </w:r>
          </w:p>
          <w:p>
            <w:pPr>
              <w:pStyle w:val="Style5"/>
              <w:framePr w:w="10219" w:wrap="notBeside" w:vAnchor="text" w:hAnchor="text" w:xAlign="center" w:y="1"/>
              <w:widowControl w:val="0"/>
              <w:keepNext w:val="0"/>
              <w:keepLines w:val="0"/>
              <w:shd w:val="clear" w:color="auto" w:fill="auto"/>
              <w:bidi w:val="0"/>
              <w:jc w:val="center"/>
              <w:spacing w:before="0" w:after="0" w:line="298" w:lineRule="exact"/>
              <w:ind w:left="0" w:right="0" w:firstLine="0"/>
            </w:pPr>
            <w:r>
              <w:rPr>
                <w:rStyle w:val="CharStyle13"/>
              </w:rPr>
              <w:t>/Страна</w:t>
            </w:r>
          </w:p>
          <w:p>
            <w:pPr>
              <w:pStyle w:val="Style5"/>
              <w:framePr w:w="10219" w:wrap="notBeside" w:vAnchor="text" w:hAnchor="text" w:xAlign="center" w:y="1"/>
              <w:widowControl w:val="0"/>
              <w:keepNext w:val="0"/>
              <w:keepLines w:val="0"/>
              <w:shd w:val="clear" w:color="auto" w:fill="auto"/>
              <w:bidi w:val="0"/>
              <w:jc w:val="center"/>
              <w:spacing w:before="0" w:after="0" w:line="298" w:lineRule="exact"/>
              <w:ind w:left="0" w:right="0" w:firstLine="0"/>
            </w:pPr>
            <w:r>
              <w:rPr>
                <w:rStyle w:val="CharStyle13"/>
              </w:rPr>
              <w:t>происхождения</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0" w:right="0" w:firstLine="0"/>
            </w:pPr>
            <w:r>
              <w:rPr>
                <w:rStyle w:val="CharStyle13"/>
              </w:rPr>
              <w:t>Ед. изм.</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13"/>
              </w:rPr>
              <w:t>Цена за единицу НДС не облагается, ру</w:t>
            </w:r>
            <w:r>
              <w:rPr>
                <w:rStyle w:val="CharStyle13"/>
                <w:vertAlign w:val="superscript"/>
              </w:rPr>
              <w:t>б</w:t>
            </w:r>
            <w:r>
              <w:rPr>
                <w:rStyle w:val="CharStyle13"/>
              </w:rPr>
              <w:t>.</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Количество</w:t>
            </w:r>
          </w:p>
        </w:tc>
        <w:tc>
          <w:tcPr>
            <w:shd w:val="clear" w:color="auto" w:fill="FFFFFF"/>
            <w:tcBorders>
              <w:left w:val="single" w:sz="4"/>
              <w:righ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98" w:lineRule="exact"/>
              <w:ind w:left="0" w:right="0" w:firstLine="0"/>
            </w:pPr>
            <w:r>
              <w:rPr>
                <w:rStyle w:val="CharStyle13"/>
              </w:rPr>
              <w:t>Общая стоимость НДС не облагается, руб.</w:t>
            </w:r>
          </w:p>
        </w:tc>
      </w:tr>
      <w:tr>
        <w:trPr>
          <w:trHeight w:val="346" w:hRule="exact"/>
        </w:trPr>
        <w:tc>
          <w:tcPr>
            <w:shd w:val="clear" w:color="auto" w:fill="FFFFFF"/>
            <w:vMerge w:val="restart"/>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3"/>
              </w:rPr>
              <w:t>1.</w:t>
            </w:r>
          </w:p>
        </w:tc>
        <w:tc>
          <w:tcPr>
            <w:shd w:val="clear" w:color="auto" w:fill="FFFFFF"/>
            <w:vMerge w:val="restart"/>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13"/>
              </w:rPr>
              <w:t>Датчик</w:t>
            </w:r>
          </w:p>
          <w:p>
            <w:pPr>
              <w:pStyle w:val="Style5"/>
              <w:framePr w:w="10219"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13"/>
              </w:rPr>
              <w:t xml:space="preserve">пульсоксиметрический, тип </w:t>
            </w:r>
            <w:r>
              <w:rPr>
                <w:rStyle w:val="CharStyle13"/>
                <w:lang w:val="en-US" w:eastAsia="en-US" w:bidi="en-US"/>
              </w:rPr>
              <w:t xml:space="preserve">Nellcor, </w:t>
            </w:r>
            <w:r>
              <w:rPr>
                <w:rStyle w:val="CharStyle13"/>
              </w:rPr>
              <w:t>однократного применения</w:t>
            </w:r>
          </w:p>
        </w:tc>
        <w:tc>
          <w:tcPr>
            <w:shd w:val="clear" w:color="auto" w:fill="FFFFFF"/>
            <w:vMerge w:val="restart"/>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3"/>
                <w:lang w:val="en-US" w:eastAsia="en-US" w:bidi="en-US"/>
              </w:rPr>
              <w:t>Shenzhen EMS</w:t>
            </w:r>
          </w:p>
          <w:p>
            <w:pPr>
              <w:pStyle w:val="Style5"/>
              <w:framePr w:w="10219"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3"/>
                <w:lang w:val="en-US" w:eastAsia="en-US" w:bidi="en-US"/>
              </w:rPr>
              <w:t>Life Technology</w:t>
            </w:r>
          </w:p>
          <w:p>
            <w:pPr>
              <w:pStyle w:val="Style5"/>
              <w:framePr w:w="10219"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3"/>
                <w:lang w:val="en-US" w:eastAsia="en-US" w:bidi="en-US"/>
              </w:rPr>
              <w:t>Co.,Ltd.</w:t>
            </w:r>
          </w:p>
          <w:p>
            <w:pPr>
              <w:pStyle w:val="Style5"/>
              <w:framePr w:w="10219"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3"/>
              </w:rPr>
              <w:t>Китайская</w:t>
            </w:r>
          </w:p>
          <w:p>
            <w:pPr>
              <w:pStyle w:val="Style5"/>
              <w:framePr w:w="10219"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3"/>
              </w:rPr>
              <w:t>народная</w:t>
            </w:r>
          </w:p>
          <w:p>
            <w:pPr>
              <w:pStyle w:val="Style5"/>
              <w:framePr w:w="10219"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3"/>
              </w:rPr>
              <w:t>республика</w:t>
            </w:r>
          </w:p>
        </w:tc>
        <w:tc>
          <w:tcPr>
            <w:shd w:val="clear" w:color="auto" w:fill="FFFFFF"/>
            <w:vMerge w:val="restart"/>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left"/>
              <w:spacing w:before="0" w:after="0" w:line="260" w:lineRule="exact"/>
              <w:ind w:left="20" w:right="0" w:firstLine="0"/>
            </w:pPr>
            <w:r>
              <w:rPr>
                <w:rStyle w:val="CharStyle13"/>
              </w:rPr>
              <w:t>Штука</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250,68</w:t>
            </w:r>
          </w:p>
        </w:tc>
        <w:tc>
          <w:tcPr>
            <w:shd w:val="clear" w:color="auto" w:fill="FFFFFF"/>
            <w:tcBorders>
              <w:lef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1499</w:t>
            </w:r>
          </w:p>
        </w:tc>
        <w:tc>
          <w:tcPr>
            <w:shd w:val="clear" w:color="auto" w:fill="FFFFFF"/>
            <w:tcBorders>
              <w:left w:val="single" w:sz="4"/>
              <w:right w:val="single" w:sz="4"/>
              <w:top w:val="single" w:sz="4"/>
            </w:tcBorders>
            <w:vAlign w:val="bottom"/>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375 769,32</w:t>
            </w:r>
          </w:p>
        </w:tc>
      </w:tr>
      <w:tr>
        <w:trPr>
          <w:trHeight w:val="1358" w:hRule="exact"/>
        </w:trPr>
        <w:tc>
          <w:tcPr>
            <w:shd w:val="clear" w:color="auto" w:fill="FFFFFF"/>
            <w:vMerge/>
            <w:tcBorders>
              <w:left w:val="single" w:sz="4"/>
            </w:tcBorders>
            <w:vAlign w:val="center"/>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center"/>
          </w:tcPr>
          <w:p>
            <w:pPr>
              <w:framePr w:w="10219" w:wrap="notBeside" w:vAnchor="text" w:hAnchor="text" w:xAlign="center" w:y="1"/>
            </w:pP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250,18</w:t>
            </w:r>
          </w:p>
        </w:tc>
        <w:tc>
          <w:tcPr>
            <w:shd w:val="clear" w:color="auto" w:fill="FFFFFF"/>
            <w:tcBorders>
              <w:lef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1</w:t>
            </w:r>
          </w:p>
        </w:tc>
        <w:tc>
          <w:tcPr>
            <w:shd w:val="clear" w:color="auto" w:fill="FFFFFF"/>
            <w:tcBorders>
              <w:left w:val="single" w:sz="4"/>
              <w:right w:val="single" w:sz="4"/>
              <w:top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250,18</w:t>
            </w:r>
          </w:p>
        </w:tc>
      </w:tr>
      <w:tr>
        <w:trPr>
          <w:trHeight w:val="653" w:hRule="exact"/>
        </w:trPr>
        <w:tc>
          <w:tcPr>
            <w:shd w:val="clear" w:color="auto" w:fill="FFFFFF"/>
            <w:gridSpan w:val="6"/>
            <w:tcBorders>
              <w:left w:val="single" w:sz="4"/>
              <w:top w:val="single" w:sz="4"/>
              <w:bottom w:val="single" w:sz="4"/>
            </w:tcBorders>
            <w:vAlign w:val="bottom"/>
          </w:tcPr>
          <w:p>
            <w:pPr>
              <w:pStyle w:val="Style5"/>
              <w:framePr w:w="10219" w:wrap="notBeside" w:vAnchor="text" w:hAnchor="text" w:xAlign="center" w:y="1"/>
              <w:widowControl w:val="0"/>
              <w:keepNext w:val="0"/>
              <w:keepLines w:val="0"/>
              <w:shd w:val="clear" w:color="auto" w:fill="auto"/>
              <w:bidi w:val="0"/>
              <w:jc w:val="left"/>
              <w:spacing w:before="0" w:after="0" w:line="307" w:lineRule="exact"/>
              <w:ind w:left="40" w:right="0" w:firstLine="0"/>
            </w:pPr>
            <w:r>
              <w:rPr>
                <w:rStyle w:val="CharStyle13"/>
              </w:rPr>
              <w:t>Итого Цена Контракта, НДС не облагается</w:t>
            </w:r>
          </w:p>
        </w:tc>
        <w:tc>
          <w:tcPr>
            <w:shd w:val="clear" w:color="auto" w:fill="FFFFFF"/>
            <w:tcBorders>
              <w:left w:val="single" w:sz="4"/>
              <w:right w:val="single" w:sz="4"/>
              <w:top w:val="single" w:sz="4"/>
              <w:bottom w:val="single" w:sz="4"/>
            </w:tcBorders>
            <w:vAlign w:val="center"/>
          </w:tcPr>
          <w:p>
            <w:pPr>
              <w:pStyle w:val="Style5"/>
              <w:framePr w:w="10219" w:wrap="notBeside" w:vAnchor="text" w:hAnchor="text" w:xAlign="center" w:y="1"/>
              <w:widowControl w:val="0"/>
              <w:keepNext w:val="0"/>
              <w:keepLines w:val="0"/>
              <w:shd w:val="clear" w:color="auto" w:fill="auto"/>
              <w:bidi w:val="0"/>
              <w:jc w:val="center"/>
              <w:spacing w:before="0" w:after="0" w:line="260" w:lineRule="exact"/>
              <w:ind w:left="0" w:right="0" w:firstLine="0"/>
            </w:pPr>
            <w:r>
              <w:rPr>
                <w:rStyle w:val="CharStyle13"/>
              </w:rPr>
              <w:t>376 19,50</w:t>
            </w:r>
          </w:p>
        </w:tc>
      </w:tr>
    </w:tbl>
    <w:p>
      <w:pPr>
        <w:pStyle w:val="Style11"/>
        <w:framePr w:w="10219" w:wrap="notBeside" w:vAnchor="text" w:hAnchor="text" w:xAlign="center" w:y="1"/>
        <w:widowControl w:val="0"/>
        <w:keepNext w:val="0"/>
        <w:keepLines w:val="0"/>
        <w:shd w:val="clear" w:color="auto" w:fill="auto"/>
        <w:bidi w:val="0"/>
        <w:jc w:val="both"/>
        <w:spacing w:before="0" w:after="0" w:line="302" w:lineRule="exact"/>
        <w:ind w:left="0" w:right="0" w:firstLine="0"/>
      </w:pPr>
      <w:r>
        <w:rPr>
          <w:lang w:val="ru-RU" w:eastAsia="ru-RU" w:bidi="ru-RU"/>
          <w:w w:val="100"/>
          <w:spacing w:val="0"/>
          <w:color w:val="000000"/>
          <w:position w:val="0"/>
        </w:rPr>
        <w:t>Итого: 376 019,50 (триста семьдесят шесть тысяч девятнадцать) рублей 50 копеек, НДС не облагается в соответствии со ст. 346.12 главы 26.2 НК РФ</w:t>
      </w:r>
    </w:p>
    <w:p>
      <w:pPr>
        <w:widowControl w:val="0"/>
        <w:rPr>
          <w:sz w:val="2"/>
          <w:szCs w:val="2"/>
        </w:rPr>
      </w:pPr>
    </w:p>
    <w:p>
      <w:pPr>
        <w:pStyle w:val="Style5"/>
        <w:tabs>
          <w:tab w:leader="none" w:pos="4690" w:val="left"/>
        </w:tabs>
        <w:widowControl w:val="0"/>
        <w:keepNext w:val="0"/>
        <w:keepLines w:val="0"/>
        <w:shd w:val="clear" w:color="auto" w:fill="auto"/>
        <w:bidi w:val="0"/>
        <w:spacing w:before="330" w:after="0" w:line="260" w:lineRule="exact"/>
        <w:ind w:left="0" w:right="0" w:firstLine="0"/>
      </w:pPr>
      <w:r>
        <w:rPr>
          <w:lang w:val="ru-RU" w:eastAsia="ru-RU" w:bidi="ru-RU"/>
          <w:w w:val="100"/>
          <w:spacing w:val="0"/>
          <w:color w:val="000000"/>
          <w:position w:val="0"/>
        </w:rPr>
        <w:t>Заказчик:</w:t>
        <w:tab/>
        <w:t>Поставщик:</w:t>
      </w:r>
    </w:p>
    <w:p>
      <w:pPr>
        <w:pStyle w:val="Style5"/>
        <w:widowControl w:val="0"/>
        <w:keepNext w:val="0"/>
        <w:keepLines w:val="0"/>
        <w:shd w:val="clear" w:color="auto" w:fill="auto"/>
        <w:bidi w:val="0"/>
        <w:spacing w:before="0" w:after="578" w:line="260" w:lineRule="exact"/>
        <w:ind w:left="0" w:right="0" w:firstLine="0"/>
      </w:pPr>
      <w:r>
        <w:rPr>
          <w:lang w:val="ru-RU" w:eastAsia="ru-RU" w:bidi="ru-RU"/>
          <w:w w:val="100"/>
          <w:spacing w:val="0"/>
          <w:color w:val="000000"/>
          <w:position w:val="0"/>
        </w:rPr>
        <w:t>Заместитель главного врача по технике Генеральный директор</w:t>
      </w:r>
    </w:p>
    <w:p>
      <w:pPr>
        <w:pStyle w:val="Style5"/>
        <w:tabs>
          <w:tab w:leader="underscore" w:pos="2952" w:val="right"/>
          <w:tab w:leader="none" w:pos="3114" w:val="left"/>
          <w:tab w:leader="none" w:pos="7397" w:val="right"/>
          <w:tab w:leader="none" w:pos="8347" w:val="right"/>
        </w:tabs>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ab/>
        <w:t>А.А.</w:t>
        <w:tab/>
        <w:t>Исаев</w:t>
        <w:tab/>
        <w:t xml:space="preserve"> П.В.</w:t>
        <w:tab/>
        <w:t>Гущина</w:t>
      </w:r>
    </w:p>
    <w:p>
      <w:pPr>
        <w:pStyle w:val="Style5"/>
        <w:tabs>
          <w:tab w:leader="none" w:pos="4690" w:val="left"/>
        </w:tabs>
        <w:widowControl w:val="0"/>
        <w:keepNext w:val="0"/>
        <w:keepLines w:val="0"/>
        <w:shd w:val="clear" w:color="auto" w:fill="auto"/>
        <w:bidi w:val="0"/>
        <w:spacing w:before="0" w:after="243" w:line="260" w:lineRule="exact"/>
        <w:ind w:left="0" w:right="0" w:firstLine="0"/>
      </w:pPr>
      <w:r>
        <w:rPr>
          <w:lang w:val="ru-RU" w:eastAsia="ru-RU" w:bidi="ru-RU"/>
          <w:w w:val="100"/>
          <w:spacing w:val="0"/>
          <w:color w:val="000000"/>
          <w:position w:val="0"/>
        </w:rPr>
        <w:t>М.П.</w:t>
        <w:tab/>
        <w:t>М.П.</w:t>
      </w:r>
    </w:p>
    <w:p>
      <w:pPr>
        <w:pStyle w:val="Style5"/>
        <w:widowControl w:val="0"/>
        <w:keepNext w:val="0"/>
        <w:keepLines w:val="0"/>
        <w:shd w:val="clear" w:color="auto" w:fill="auto"/>
        <w:bidi w:val="0"/>
        <w:spacing w:before="0" w:after="0" w:line="322" w:lineRule="exact"/>
        <w:ind w:left="120" w:right="60" w:firstLine="720"/>
      </w:pPr>
      <w:r>
        <w:rPr>
          <w:lang w:val="ru-RU" w:eastAsia="ru-RU" w:bidi="ru-RU"/>
          <w:w w:val="100"/>
          <w:spacing w:val="0"/>
          <w:color w:val="000000"/>
          <w:position w:val="0"/>
        </w:rPr>
        <w:t>Тем самым, по мнению Заявителя, Заказчик неправомерно признал Заявителя уклонившимся от заключения контракта.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Комиссия Управления отмечает, что действительно, ч. 9 ст. 37 Закона о контрактной системе не содержит требований к способу и форме обоснования предложенной цены контракта, вместе с тем приведенный в ней примерный перечень документов, подлежащих представлению участником закупки, указывает на то, что представляемые во исполнение требований данной нормы документы должны подтверждать не только наличие товара у участника закупки либо свидетельствовать о наличии у него возможности осуществить поставку товара по предлагаемой цене, но и содержать обоснование предлагаемой цены.</w:t>
      </w:r>
    </w:p>
    <w:p>
      <w:pPr>
        <w:pStyle w:val="Style5"/>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В собственном расчете цены на который ссылается Заявитель указаны ассортимент, количество и цена поставляемого товара по каждой единице этого товара, в то же время в нем не содержится каких-либо сведений производителей или иных сведений позволяющих подтвердить возможность осуществления поставки по предложенной победителем аукциона цене, из содержания данного расчета сделать вывод об основаниях снижения более, чем на двадцать пять процентов, не представляется возможным.</w:t>
      </w:r>
    </w:p>
    <w:p>
      <w:pPr>
        <w:pStyle w:val="Style5"/>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Таким образом, представленный самим обществом расчет цены не соответствует требованиям, установленным ч.9 ст.37 Закона о контрактной системе, и в отсутствие иных документов, подтверждающих обоснование значительно сниженной цены поставляемых товаров, не может быть принято в качестве достаточного обоснования стоимости контракта.</w:t>
      </w:r>
    </w:p>
    <w:p>
      <w:pPr>
        <w:pStyle w:val="Style5"/>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Данная позиция также подтверждается позицией Верховного суда Российской Федерации изложенной в Определении от 20 декабря 2018 г. № 303-КГ18-20816.</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основании п.2 ч.10 ст.37 Закона о контрактной системе обоснование, указанное в ч.9 ст.37 Закона о контрактной системе, представляется участником закупки, с которым заключается контракт, при направлении заказчику подписанного проекта контракта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ч.13 ст.83.2 Закона о контрактной системе победитель электронной процедуры (за исключением победителя, предусмотренного ч.14 ст.83.2 Закона о контрактной системе)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ч.4 ст.83.2 Закона о контрактной системе, или не исполнил требования, предусмотренные ст.37 Закона о контрактной системе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публикации протокола признания Заявителя уклонившимся от заключения контракта, в связи с чем доводы жалобы Заявителя признаются необоснованными.</w:t>
      </w:r>
    </w:p>
    <w:p>
      <w:pPr>
        <w:pStyle w:val="Style5"/>
        <w:widowControl w:val="0"/>
        <w:keepNext w:val="0"/>
        <w:keepLines w:val="0"/>
        <w:shd w:val="clear" w:color="auto" w:fill="auto"/>
        <w:bidi w:val="0"/>
        <w:spacing w:before="0" w:after="236" w:line="317"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left"/>
        <w:spacing w:before="0" w:after="0"/>
        <w:ind w:left="454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Признать жалобу ООО «ЛОГОС» на действия ГБУ «СС и НМП им. А.С. Пучкова ДЗМ» необоснованной.</w:t>
      </w:r>
    </w:p>
    <w:p>
      <w:pPr>
        <w:pStyle w:val="Style5"/>
        <w:numPr>
          <w:ilvl w:val="0"/>
          <w:numId w:val="1"/>
        </w:numPr>
        <w:widowControl w:val="0"/>
        <w:keepNext w:val="0"/>
        <w:keepLines w:val="0"/>
        <w:shd w:val="clear" w:color="auto" w:fill="auto"/>
        <w:bidi w:val="0"/>
        <w:spacing w:before="0" w:after="256" w:line="322" w:lineRule="exact"/>
        <w:ind w:left="20" w:right="20" w:firstLine="720"/>
      </w:pPr>
      <w:r>
        <w:rPr>
          <w:lang w:val="ru-RU" w:eastAsia="ru-RU" w:bidi="ru-RU"/>
          <w:w w:val="100"/>
          <w:spacing w:val="0"/>
          <w:color w:val="000000"/>
          <w:position w:val="0"/>
        </w:rPr>
        <w:t xml:space="preserve"> Снять ограничение на определение поставщика, наложенное письмом Московского УФАС России от 15.01.2021 №ЕИ/1647/21.</w:t>
      </w:r>
    </w:p>
    <w:p>
      <w:pPr>
        <w:pStyle w:val="Style5"/>
        <w:widowControl w:val="0"/>
        <w:keepNext w:val="0"/>
        <w:keepLines w:val="0"/>
        <w:shd w:val="clear" w:color="auto" w:fill="auto"/>
        <w:bidi w:val="0"/>
        <w:spacing w:before="0" w:after="0" w:line="302"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391" w:val="lef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Заместитель председателя Комиссии</w:t>
        <w:tab/>
        <w:t>Д.С. Грешнева</w:t>
      </w:r>
    </w:p>
    <w:p>
      <w:pPr>
        <w:pStyle w:val="Style5"/>
        <w:tabs>
          <w:tab w:leader="none" w:pos="8694" w:val="right"/>
          <w:tab w:leader="none" w:pos="10177"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Д.А. Аносов</w:t>
      </w:r>
    </w:p>
    <w:p>
      <w:pPr>
        <w:pStyle w:val="Style14"/>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Кутейников А.А.. 8 (495) 784-75-05 доб. 077-162</w:t>
      </w:r>
    </w:p>
    <w:sectPr>
      <w:pgSz w:w="11906" w:h="16838"/>
      <w:pgMar w:top="1789" w:left="781" w:right="757" w:bottom="17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Подпись к таблице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6"/>
    <w:rPr>
      <w:lang w:val="ru-RU" w:eastAsia="ru-RU" w:bidi="ru-RU"/>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680" w:line="322" w:lineRule="exact"/>
      <w:ind w:firstLine="454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Подпись к таблице"/>
    <w:basedOn w:val="Normal"/>
    <w:link w:val="CharStyle1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