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306" w:after="89"/>
        <w:ind w:left="0" w:right="0" w:firstLine="0"/>
      </w:pPr>
      <w:r>
        <w:rPr>
          <w:rStyle w:val="CharStyle5"/>
        </w:rPr>
        <w:t>ФЕДЕРАЛЬНАЯ АНТИМОНОПОЛЬНАЯ СЛУЖБА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437"/>
        <w:ind w:left="0" w:right="0" w:firstLine="0"/>
      </w:pPr>
      <w:r>
        <w:rPr>
          <w:rStyle w:val="CharStyle8"/>
          <w:b/>
          <w:bCs/>
        </w:rPr>
        <w:t>УПРАВЛЕНИЕ Федеральной антимонопольной службы по Архангельской области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358"/>
        <w:ind w:left="0" w:right="0" w:firstLine="0"/>
      </w:pPr>
      <w:r>
        <w:rPr>
          <w:rStyle w:val="CharStyle11"/>
        </w:rPr>
        <w:t xml:space="preserve">ул. К. Либкнехта, 2, г. Архангельск, 163000 Тел.: (8182) 20-73-21, факс: (8182) 21-54-45 </w:t>
      </w:r>
      <w:r>
        <w:rPr>
          <w:rStyle w:val="CharStyle11"/>
          <w:lang w:val="en-US" w:eastAsia="en-US" w:bidi="en-US"/>
        </w:rPr>
        <w:t xml:space="preserve">e-mail: </w:t>
      </w:r>
      <w:r>
        <w:fldChar w:fldCharType="begin"/>
      </w:r>
      <w:r>
        <w:rPr>
          <w:rStyle w:val="CharStyle11"/>
        </w:rPr>
        <w:instrText> HYPERLINK "mailto:to29@fas.gov.ru" </w:instrText>
      </w:r>
      <w:r>
        <w:fldChar w:fldCharType="separate"/>
      </w:r>
      <w:r>
        <w:rPr>
          <w:rStyle w:val="Hyperlink"/>
          <w:lang w:val="en-US" w:eastAsia="en-US" w:bidi="en-US"/>
        </w:rPr>
        <w:t>to29@fas.gov.ru</w:t>
      </w:r>
      <w:r>
        <w:fldChar w:fldCharType="end"/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124" w:line="200" w:lineRule="exact"/>
        <w:ind w:left="20" w:right="0" w:firstLine="0"/>
      </w:pPr>
      <w:r>
        <w:rPr>
          <w:rStyle w:val="CharStyle14"/>
        </w:rPr>
        <w:t xml:space="preserve"> </w:t>
      </w:r>
      <w:r>
        <w:rPr>
          <w:rStyle w:val="CharStyle15"/>
        </w:rPr>
        <w:t>№</w:t>
      </w:r>
    </w:p>
    <w:p>
      <w:pPr>
        <w:pStyle w:val="Style3"/>
        <w:tabs>
          <w:tab w:leader="none" w:pos="2511" w:val="center"/>
          <w:tab w:leader="underscore" w:pos="3538" w:val="right"/>
          <w:tab w:leader="underscore" w:pos="482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00" w:lineRule="exact"/>
        <w:ind w:left="20" w:right="0" w:firstLine="0"/>
      </w:pPr>
      <w:r>
        <w:rPr>
          <w:rStyle w:val="CharStyle16"/>
        </w:rPr>
        <w:t>На №</w:t>
        <w:tab/>
        <w:t>от</w:t>
        <w:tab/>
        <w:t>/</w:t>
        <w:tab/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3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Дело № 352мз-17 </w:t>
      </w:r>
      <w:r>
        <w:rPr>
          <w:rStyle w:val="CharStyle19"/>
          <w:b/>
          <w:bCs/>
        </w:rPr>
        <w:t>Заказчик 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50" w:lineRule="exact"/>
        <w:ind w:left="20" w:right="320" w:firstLine="0"/>
      </w:pPr>
      <w:r>
        <w:rPr>
          <w:rStyle w:val="CharStyle20"/>
        </w:rPr>
        <w:t xml:space="preserve">Архангельская городская Дума </w:t>
      </w:r>
      <w:r>
        <w:rPr>
          <w:lang w:val="ru-RU" w:eastAsia="ru-RU" w:bidi="ru-RU"/>
          <w:w w:val="100"/>
          <w:spacing w:val="0"/>
          <w:color w:val="000000"/>
          <w:position w:val="0"/>
        </w:rPr>
        <w:t>163046 г.Архангельск, Троицкий пр., дом 60,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184" w:line="250" w:lineRule="exact"/>
        <w:ind w:left="2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"mailto:gorduma@arhgorduma.ru"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gorduma@arhgorduma.ru</w:t>
      </w:r>
      <w:r>
        <w:fldChar w:fldCharType="end"/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0" w:line="245" w:lineRule="exact"/>
        <w:ind w:left="20" w:right="0" w:firstLine="0"/>
      </w:pPr>
      <w:r>
        <w:rPr>
          <w:rStyle w:val="CharStyle19"/>
          <w:b/>
          <w:bCs/>
        </w:rPr>
        <w:t>Оператор электронной площадки: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0" w:line="245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ЗАО «Сбербанк-АСТ»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176" w:line="245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119435, г. Москва, Большой Савинский переулок, д. 12, стр. 9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"mailto:ko@sberbank-ast.ru"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ko@sberbank-ast.ru</w:t>
      </w:r>
      <w:r>
        <w:fldChar w:fldCharType="end"/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0" w:line="250" w:lineRule="exact"/>
        <w:ind w:left="20" w:right="0" w:firstLine="0"/>
      </w:pPr>
      <w:r>
        <w:rPr>
          <w:rStyle w:val="CharStyle19"/>
          <w:b/>
          <w:bCs/>
        </w:rPr>
        <w:t>Заявитель: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0" w:line="25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"Северодвинский Медиа Центр"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50" w:lineRule="exact"/>
        <w:ind w:left="2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482" w:left="891" w:right="953" w:bottom="482" w:header="0" w:footer="3" w:gutter="0"/>
          <w:rtlGutter w:val="0"/>
          <w:cols w:num="2" w:space="720" w:equalWidth="0">
            <w:col w:w="4819" w:space="1042"/>
            <w:col w:w="4200"/>
          </w:cols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164521, Северодвинск, ул.Южная, 20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"mailto:info@severodvinsk.tv"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info@severodvinsk.tv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25" w:after="25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113" w:line="230" w:lineRule="exact"/>
        <w:ind w:left="42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</w:t>
      </w:r>
    </w:p>
    <w:p>
      <w:pPr>
        <w:pStyle w:val="Style6"/>
        <w:tabs>
          <w:tab w:leader="none" w:pos="8094" w:val="right"/>
          <w:tab w:leader="none" w:pos="9560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87" w:line="230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09 ноября 2017 года</w:t>
        <w:tab/>
        <w:t>г.</w:t>
        <w:tab/>
        <w:t>Архангельск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spacing w:before="0" w:after="91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Управления Федеральной антимонопольной службы по Архангельской области по контролю в сфере закупок (далее - Комиссия Архангельского У ФАС России) в составе: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123" w:line="230" w:lineRule="exact"/>
        <w:ind w:left="600" w:right="0" w:firstLine="0"/>
      </w:pPr>
      <w:r>
        <w:rPr>
          <w:rStyle w:val="CharStyle27"/>
          <w:b/>
          <w:bCs/>
        </w:rPr>
        <w:t>Председатель комиссии:</w:t>
      </w:r>
    </w:p>
    <w:p>
      <w:pPr>
        <w:pStyle w:val="Style25"/>
        <w:tabs>
          <w:tab w:leader="none" w:pos="2211" w:val="left"/>
        </w:tabs>
        <w:widowControl w:val="0"/>
        <w:keepNext w:val="0"/>
        <w:keepLines w:val="0"/>
        <w:shd w:val="clear" w:color="auto" w:fill="auto"/>
        <w:bidi w:val="0"/>
        <w:spacing w:before="0" w:line="230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Короткова И.Ю.</w:t>
        <w:tab/>
        <w:t>Заместитель руководителя Управления - начальник отдела контроля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left"/>
        <w:spacing w:before="0" w:after="108" w:line="230" w:lineRule="exact"/>
        <w:ind w:left="22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закупок,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600" w:right="0" w:firstLine="0"/>
      </w:pPr>
      <w:r>
        <w:rPr>
          <w:rStyle w:val="CharStyle27"/>
          <w:b/>
          <w:bCs/>
        </w:rPr>
        <w:t>Члены комиссии:</w:t>
      </w:r>
    </w:p>
    <w:p>
      <w:pPr>
        <w:pStyle w:val="Style25"/>
        <w:tabs>
          <w:tab w:leader="none" w:pos="2211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Спиридонова О.Г.</w:t>
        <w:tab/>
        <w:t>Главный специалист-эксперт отдела контроля закупок,</w:t>
      </w:r>
    </w:p>
    <w:p>
      <w:pPr>
        <w:pStyle w:val="Style25"/>
        <w:tabs>
          <w:tab w:leader="none" w:pos="2211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Малышева О.С.</w:t>
        <w:tab/>
        <w:t>Специалист-эксперт отдела контроля закупок;</w:t>
      </w:r>
    </w:p>
    <w:p>
      <w:pPr>
        <w:pStyle w:val="Style25"/>
        <w:tabs>
          <w:tab w:leader="none" w:pos="2339" w:val="left"/>
          <w:tab w:leader="none" w:pos="8578" w:val="center"/>
          <w:tab w:leader="none" w:pos="9121" w:val="center"/>
          <w:tab w:leader="none" w:pos="9560" w:val="righ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4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</w:t>
        <w:tab/>
        <w:t>пункта 1 части 15 статьи 99, статьи 106 Федерального</w:t>
        <w:tab/>
        <w:t>закона</w:t>
        <w:tab/>
        <w:t>от</w:t>
        <w:tab/>
        <w:t>05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spacing w:before="0" w:after="180"/>
        <w:ind w:left="4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апреля 2013 года № 44-ФЗ «О контрактной системе в сфере закупок товаров, работ, услуг для обеспечения государственных и муниципальных нужд» (далее - ФЗ «О контрактной системе»), Постановления Правительства РФ от 26.08.2013 № 728 «Об определении полномочий федеральных органов исполнительной власти в сфере закупок товаров, работ, услуг для обеспечения государственных и муниципальных нужд и о внесении изменений в некоторые акты Правительства Российской Федерации»,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40" w:right="0" w:firstLine="700"/>
      </w:pPr>
      <w:r>
        <w:rPr>
          <w:rStyle w:val="CharStyle27"/>
          <w:b/>
          <w:bCs/>
        </w:rPr>
        <w:t>в присутствии представителей от: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spacing w:before="0" w:after="0"/>
        <w:ind w:left="40" w:right="20" w:firstLine="700"/>
      </w:pPr>
      <w:r>
        <w:rPr>
          <w:rStyle w:val="CharStyle28"/>
        </w:rPr>
        <w:t xml:space="preserve">Заявителя: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Лаптева </w:t>
      </w:r>
      <w:r>
        <w:rPr>
          <w:rStyle w:val="CharStyle28"/>
        </w:rPr>
        <w:t xml:space="preserve">В.Н. </w:t>
      </w:r>
      <w:r>
        <w:rPr>
          <w:lang w:val="ru-RU" w:eastAsia="ru-RU" w:bidi="ru-RU"/>
          <w:w w:val="100"/>
          <w:spacing w:val="0"/>
          <w:color w:val="000000"/>
          <w:position w:val="0"/>
        </w:rPr>
        <w:t>(паспорт, приказ о полномочиях), Шкутан Е.Ю. (доверенность от 17.04.2017 № б/н);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spacing w:before="0" w:after="184"/>
        <w:ind w:left="40" w:right="20" w:firstLine="700"/>
      </w:pPr>
      <w:r>
        <w:rPr>
          <w:rStyle w:val="CharStyle28"/>
        </w:rPr>
        <w:t xml:space="preserve">Заказчика: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Сметаниной А.А. (доверенность от 08.11.2017 № 03-15/894), Чупрова И.В. (доверенность от 08.11.2017 № 03-15/897);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264" w:lineRule="exact"/>
        <w:ind w:left="42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</w:p>
    <w:p>
      <w:pPr>
        <w:pStyle w:val="Style21"/>
        <w:framePr w:h="254" w:wrap="around" w:vAnchor="text" w:hAnchor="margin" w:x="8797" w:y="1921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50"/>
          <w:color w:val="000000"/>
          <w:position w:val="0"/>
        </w:rPr>
        <w:t>02143</w:t>
      </w:r>
    </w:p>
    <w:p>
      <w:pPr>
        <w:pStyle w:val="Style23"/>
        <w:framePr w:h="120" w:wrap="notBeside" w:vAnchor="text" w:hAnchor="margin" w:x="-433" w:y="2103"/>
        <w:widowControl w:val="0"/>
        <w:keepNext w:val="0"/>
        <w:keepLines w:val="0"/>
        <w:shd w:val="clear" w:color="auto" w:fill="auto"/>
        <w:bidi w:val="0"/>
        <w:jc w:val="left"/>
        <w:spacing w:before="0" w:after="0" w:line="10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«ИПП «ПС», пр. Новгородский, 32, ИНН 2901120811, зак. 787, т. 2500, 16.08.2017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spacing w:before="0" w:after="87" w:line="264" w:lineRule="exact"/>
        <w:ind w:left="40" w:right="20" w:firstLine="8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02 ноября 2017 года в Архангельское УФАС России — уполномоченный федеральный орган исполнительной власти, осуществляющий контроль в сфере закупок, поступила жалоба ООО "Северодвинский Медиа Центр" (далее - Заявитель) на действия заказчика - Архангельской городской Думы (далее </w:t>
      </w:r>
      <w:r>
        <w:rPr>
          <w:rStyle w:val="CharStyle29"/>
        </w:rPr>
        <w:t xml:space="preserve">-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Заказчик), при проведении электронного аукциона на право заключения муниципального контракта на оказание услуг по производству и размещению в телевизионном эфире с охватом вещания - не менее 85%</w:t>
        <w:br w:type="page"/>
        <w:t>всех жителей Архангельской области информационно-новостных сюжетов о деятельности Архангельской городской Думы (извещение № 0124300024917000016).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30" w:lineRule="exact"/>
        <w:ind w:left="20" w:right="0" w:firstLine="860"/>
      </w:pPr>
      <w:r>
        <w:rPr>
          <w:rStyle w:val="CharStyle27"/>
          <w:b/>
          <w:bCs/>
        </w:rPr>
        <w:t>Содержание жалобы: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spacing w:before="0" w:after="0" w:line="264" w:lineRule="exact"/>
        <w:ind w:left="20" w:right="4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Обжалуются действия Заказчика в связи с утверждением документации об аукционе несоответствующей ФЗ «О контрактной системе.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spacing w:before="0" w:after="229" w:line="254" w:lineRule="exact"/>
        <w:ind w:left="20" w:right="4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 не согласен с доводами Заявителя по основаниям, изложенным в объяснении по жалобе от 09.11.2017 № б/н.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20" w:right="4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Архангельского УФАС России рассмотрела жалобу и провела на основании части 15 статьи 99 ФЗ «О контрактной системе» внеплановую проверку осуществления закупки с учетом следующего.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4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27.10.2017 Заказчиком на официальном сайте единой информационной системы в сфере закупок в сети Интернет </w:t>
      </w:r>
      <w:r>
        <w:fldChar w:fldCharType="begin"/>
      </w:r>
      <w:r>
        <w:rPr>
          <w:color w:val="000000"/>
        </w:rPr>
        <w:instrText> HYPERLINK "http://zakupki.gov.ru"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http://zakupki.gov.ru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размещено извещение №0124300024917000016 о проведении электронного аукциона и документация об электронном аукционе на право заключения муниципального контракта на оказание услуг по производству и размещению в телевизионном эфире с охватом вещания - не менее 85% всех жителей Архангельской области информационно-новостных сюжетов о деятельности Архангельской городской Думы (далее - документация об аукционе).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Начальная (максимальная) цена муниципального контракта - 356250 рублей.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spacing w:before="0" w:after="244" w:line="274" w:lineRule="exact"/>
        <w:ind w:left="20" w:right="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Оператор электронной площадки - ЗАО «Сбербанк-АСТ».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spacing w:before="0" w:after="0"/>
        <w:ind w:left="20" w:right="4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 считает, что Заказчик в Техническом задании документации об аукционе установил такие требования к участникам аукциона (копии документа, подтверждающего вещание телеканала на территории Архангельской области с охватом не менее 85 % всех жителей области), которые влекут ограничение количества участников к участию в данном аукционе.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spacing w:before="0" w:after="0"/>
        <w:ind w:left="20" w:right="4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Пунктом 2 части 1 статьи 64 ФЗ «О контрактной системе» определено, что документация об электронном аукционе наряду с информацией, указанной в извещении о проведении такого аукциона, должна содержать требования к содержанию, составу заявки на участие в таком аукционе в соответствии с частями 3-6 статьи 66 указанного Федерального закона и инструкция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spacing w:before="0" w:after="0"/>
        <w:ind w:left="20" w:right="4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Пунктом 2 части 5 статьи 66 ФЗ «О контрактной системе» предусмотрено, что вторая часть заявки на участие в электронном аукционе должна содержать документы, подтверждающие соответствие участника такого аукциона требованиям, установленным пунктом 1 части 1, частями 2 и 2.1 статьи 31 (при наличии таких требований) указанного Федерального закона, или копии этих документов.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spacing w:before="0" w:after="0"/>
        <w:ind w:left="20" w:right="4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части 5 статьи 66 ФЗ «О контрактной системе» требовать от участника электронного аукциона предоставления иных документов и информации, за исключением предусмотренных частями 3 и 5 указанной статьи документов и информации, не допускается.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spacing w:before="0" w:after="0"/>
        <w:ind w:left="20" w:right="4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Пунктом 1 части 1 статьи 31 ФЗ «О контрактной системе» определено, что при осуществлении закупки заказчик устанавливает единые требования к участникам закупки о соответствии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spacing w:before="0" w:after="0"/>
        <w:ind w:left="20" w:right="4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Частью 6 статьи 31 ФЗ «О контрактной системе» определено, что заказчики не вправе устанавливать требования к участникам закупок в нарушение требований настоящего Федерального закона.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spacing w:before="0" w:after="0"/>
        <w:ind w:left="20" w:right="4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Подпунктом 12.2.3. пункта 12.2. части I Общие условия документации об аукционе установлены требования к содержанию и составу заявки на участие в электронном аукционе, в том числе вторая часть заявки на участие в электронном аукционе должна содержать следующие документы и информацию:</w:t>
      </w:r>
    </w:p>
    <w:p>
      <w:pPr>
        <w:pStyle w:val="Style30"/>
        <w:numPr>
          <w:ilvl w:val="0"/>
          <w:numId w:val="1"/>
        </w:numPr>
        <w:tabs>
          <w:tab w:leader="none" w:pos="366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20" w:right="0"/>
      </w:pPr>
      <w:r>
        <w:rPr>
          <w:rStyle w:val="CharStyle32"/>
          <w:b w:val="0"/>
          <w:bCs w:val="0"/>
          <w:i w:val="0"/>
          <w:iCs w:val="0"/>
        </w:rPr>
        <w:t xml:space="preserve">документы, указанные в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Информационной карте электронного аукциона, </w:t>
      </w:r>
      <w:r>
        <w:rPr>
          <w:rStyle w:val="CharStyle26"/>
          <w:b w:val="0"/>
          <w:bCs w:val="0"/>
          <w:i w:val="0"/>
          <w:iCs w:val="0"/>
        </w:rPr>
        <w:t>подтверждающие соответствие участника такого аукциона требованиям, установленным в соответствии с пунктом 1 части 1, частями 2 и 2.1 статьи 31 Закона, или копии этих документов, а также декларация о соответствии участника электронного аукциона требованиям, установленным пунктами 3-9 части 1 статьи 31 Закона;</w:t>
      </w:r>
    </w:p>
    <w:p>
      <w:pPr>
        <w:pStyle w:val="Style25"/>
        <w:numPr>
          <w:ilvl w:val="0"/>
          <w:numId w:val="1"/>
        </w:numPr>
        <w:tabs>
          <w:tab w:leader="none" w:pos="1297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8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копии документов, подтверждающих соответствие услуги требованиям, установленным в соответствии с законодательством Российской Федерации, в случае, если в соответствии с законодательством Российской Федерации установлены требования к услуге и представление указанных документов предусмотрено в </w:t>
      </w:r>
      <w:r>
        <w:rPr>
          <w:rStyle w:val="CharStyle33"/>
        </w:rPr>
        <w:t>Информационной карте электронного аукциона</w:t>
      </w:r>
      <w:r>
        <w:rPr>
          <w:lang w:val="ru-RU" w:eastAsia="ru-RU" w:bidi="ru-RU"/>
          <w:w w:val="100"/>
          <w:spacing w:val="0"/>
          <w:color w:val="000000"/>
          <w:position w:val="0"/>
        </w:rPr>
        <w:t>;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8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пункте 12.2.3. 2) части II Информационной карты документации об аукционе установлено, какие документы, или копии этих документов, предоставляемые в составе второй части заявки на участие в электронном аукционе, подтверждающие соответствие участника электронного аукциона требованиям, установленным в соответствии с пунктом 1 части 1 статьи 31 Закона:</w:t>
      </w:r>
    </w:p>
    <w:p>
      <w:pPr>
        <w:pStyle w:val="Style2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8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Копия лицензии на осуществление телевизионного вещания в соответствии с п. 37 ст. 12 Федерального закона от 04.05.2011 № 99-ФЗ «О лицензировании отдельных видов деятельности», ст. 31 Закона Российской Федерации от 27.12.1991 № 2124-1 «О средствах массовой информации» и Постановлением Правительства Российской Федерации от 08.12.2011 № 1025 «О лицензировании телевизионного вещания и радиовещания».</w:t>
      </w:r>
    </w:p>
    <w:p>
      <w:pPr>
        <w:pStyle w:val="Style2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8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34"/>
        </w:rPr>
        <w:t>Копия документа, подтверждающего вещание телеканала на территории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34"/>
        </w:rPr>
        <w:t>Архангельской области с охватом не менее 85 % всех жителей области.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8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соответствии с информацией, размещенной на официальном сайте единой информационной системы в сфере закупок в сети Интернет </w:t>
      </w:r>
      <w:r>
        <w:fldChar w:fldCharType="begin"/>
      </w:r>
      <w:r>
        <w:rPr>
          <w:rStyle w:val="CharStyle34"/>
        </w:rPr>
        <w:instrText> HYPERLINK "http://zakupki.gov.ru" </w:instrText>
      </w:r>
      <w:r>
        <w:fldChar w:fldCharType="separate"/>
      </w:r>
      <w:r>
        <w:rPr>
          <w:rStyle w:val="Hyperlink"/>
          <w:lang w:val="en-US" w:eastAsia="en-US" w:bidi="en-US"/>
        </w:rPr>
        <w:t>http://zakupki.gov.ru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,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объектом закупки является оказание услуг по производству и размещению в телевизионном эфире информационно-новостных сюжетов о деятельности Архангельской городской Думы.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8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Анализ документации об аукционе показал, что указанный документ (подтверждающий вещание телеканала с охватом не менее 85 % всех жителей области) не определен пунктом 1 части 1 статьи 31 ФЗ «О контрактной системе» и имеет прямой запрет частью 6 статьи 31 ФЗ «О контрактной системе», так как в рассматриваемом случае Заказчик указал данное требование к участникам закупок в требованиях ко второй части заявки, являющееся излишним.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8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статьи 31 Закона Российской Федерации от 27.12.1991 № 2124-1 «О средствах массовой информации» (далее - ФЗ «О средствах массовой информации») в лицензии на телевизионное вещание, радиовещание указывается определенный перечень сведений, в том числе территория распространения телеканала или радиоканала, сведения о среде вещания телеканала или радиоканала (наземное эфирное вещание, спутниковое вещание, кабельное вещание, иные среды вещания).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8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Документ, который установлен в требованиях пункта 12.2.3. 2) части II Информационной карты документации об аукционе также не определен ФЗ «О средствах массовой информации».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8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заседании Комиссия Архангельского У ФАС России представители Заказчика не смогли указать какое количество жителей охвачено кабельным и спутниковым телевидением. Заказчиком неправомерно сделан упор на охват по жителям области, так как жители области пользуются как услугами кабельного так и спутникового, эфирного вещания.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8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Исходя из вышеуказанного, Комиссия Архангельского У ФАС России приходит к выводу о том, Заказчик в своих пояснениях не обосновал свою потребность «с охватом не менее 85 % всех жителей области». Расчет охвата вещанием с учетом только наземного эфирного вещания без учета жителей, пользующихся кабельным вещанием, будет некорректным (неверным).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8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Следовательно, установление Заказчиком требования в документации об аукционе о предоставлении во вторых частях заявки «копии документа, подтверждающего вещание телеканала на территории Архангельской области с охватом не менее 85 % всех жителей области», нарушают пункт 2 части 1 статьи 64 ФЗ «О контрактной системе».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59" w:lineRule="exact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Заказчиком нарушены требования пункта 2 части 1 статьи 64 ФЗ «О контрактной системе».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spacing w:before="0" w:after="331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Руководствуясь пунктом 1 части 15 статьи 99 и частью 8 статьи 106 ФЗ «О контрактной системе», Комиссия Управления Федеральной антимонопольной службы по Архангельской области по контролю в сфере закупок,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217" w:line="230" w:lineRule="exact"/>
        <w:ind w:left="45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РЕШИЛА:</w:t>
      </w:r>
    </w:p>
    <w:p>
      <w:pPr>
        <w:pStyle w:val="Style25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4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жалобу ООО "Северодвинский Медиа Центр" обоснованной.</w:t>
      </w:r>
    </w:p>
    <w:p>
      <w:pPr>
        <w:pStyle w:val="Style25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Заказчика - Архангельская городская Дума, нарушившим пункт 2 части 1 статьи 64 ФЗ «О контрактной системе».</w:t>
      </w:r>
    </w:p>
    <w:p>
      <w:pPr>
        <w:pStyle w:val="Style25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Заказчику, оператору электронной площадки - ЗАО «Сбербанк-АСТ» (далее - Оператор электронной площадки) выдать предписание об устранении выявленных нарушений ФЗ «О контрактной системе», а именно:</w:t>
      </w:r>
    </w:p>
    <w:p>
      <w:pPr>
        <w:pStyle w:val="Style25"/>
        <w:numPr>
          <w:ilvl w:val="1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Заказчику, в документацию об электронном аукционе и в извещение внести изменения в соответствии с требованиями действующего законодательства РФ; продлить срок подачи заявок на участие в электронном аукционе на право заключения контракта на оказание услуг по производству и размещению в телевизионном эфире с охватом вещания - не менее 85% всех жителей Архангельской области информационно-новостных сюжетов о деятельности Архангельской городской Думы (извещение № 0124300024917000016) на срок </w:t>
      </w:r>
      <w:r>
        <w:rPr>
          <w:rStyle w:val="CharStyle28"/>
        </w:rPr>
        <w:t xml:space="preserve">не менее 7 дней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с момента размещения на официальном сайте указанных изменений; установить дату окончания срока рассмотрения заявок на участие в электронном аукционе и дату проведения электронного аукциона в соответствии с действующим законодательством.</w:t>
      </w:r>
    </w:p>
    <w:p>
      <w:pPr>
        <w:pStyle w:val="Style25"/>
        <w:numPr>
          <w:ilvl w:val="1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Оператору электронной площадки не позднее 1 рабочего дня со дня исполнения пункта 3.1 настоящего решения (предписания) назначить время проведения электронного аукциона и уведомить участников закупки, подавших заявки на участие в аукционе, о новой дате окончания рассмотрения первых частей заявок на участие в электронном аукционе, дате и времени проведения аукциона.</w:t>
      </w:r>
    </w:p>
    <w:p>
      <w:pPr>
        <w:pStyle w:val="Style25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Заказчику, Оператору электронной площадки исполнить пункты 3.1, 3.2 настоящего решения (предписания) </w:t>
      </w:r>
      <w:r>
        <w:rPr>
          <w:rStyle w:val="CharStyle28"/>
        </w:rPr>
        <w:t xml:space="preserve">в срок до 24 ноября 2017 года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 в тот же срок сообщить об исполнении настоящего решения (предписания) в Архангельское УФАС России в письменном виде, по факсу (8182) 21-54-45, либо на адрес электронной почты </w:t>
      </w:r>
      <w:r>
        <w:fldChar w:fldCharType="begin"/>
      </w:r>
      <w:r>
        <w:rPr>
          <w:rStyle w:val="CharStyle34"/>
        </w:rPr>
        <w:instrText> HYPERLINK "mailto:to29@fas.gov.ru" </w:instrText>
      </w:r>
      <w:r>
        <w:fldChar w:fldCharType="separate"/>
      </w:r>
      <w:r>
        <w:rPr>
          <w:rStyle w:val="Hyperlink"/>
          <w:lang w:val="en-US" w:eastAsia="en-US" w:bidi="en-US"/>
        </w:rPr>
        <w:t>to29@fas.gov.ru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с приложением подтверждающих документов.</w:t>
      </w:r>
    </w:p>
    <w:p>
      <w:pPr>
        <w:pStyle w:val="Style25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155" w:line="274" w:lineRule="exact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Передать материалы дела должностному лицу Архангельского УФАС России для принятия решения о возбуждении дела об административном правонарушении.</w:t>
      </w:r>
    </w:p>
    <w:p>
      <w:pPr>
        <w:pStyle w:val="Style35"/>
        <w:widowControl w:val="0"/>
        <w:keepNext w:val="0"/>
        <w:keepLines w:val="0"/>
        <w:shd w:val="clear" w:color="auto" w:fill="auto"/>
        <w:bidi w:val="0"/>
        <w:spacing w:before="0" w:after="540"/>
        <w:ind w:left="40" w:right="20" w:firstLine="0"/>
      </w:pPr>
      <w:r>
        <w:rPr>
          <w:rStyle w:val="CharStyle37"/>
          <w:i/>
          <w:iCs/>
        </w:rPr>
        <w:t>Примечание.</w:t>
      </w:r>
      <w:r>
        <w:rPr>
          <w:rStyle w:val="CharStyle38"/>
          <w:i/>
          <w:iCs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части 9 статьи 106 ФЗ «О контрактной системе» решение, принятое по результатам рассмотрения жалобы по существу, может быть обжаловано в судебном порядке в течение трех месяцев со дня его принятия.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233" w:line="230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30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</w:t>
      </w:r>
    </w:p>
    <w:sectPr>
      <w:type w:val="continuous"/>
      <w:pgSz w:w="11906" w:h="16838"/>
      <w:pgMar w:top="1016" w:left="927" w:right="927" w:bottom="753" w:header="0" w:footer="3" w:gutter="437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2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  <w:lvl w:ilvl="1">
      <w:start w:val="1"/>
      <w:numFmt w:val="decimal"/>
      <w:lvlText w:val="%1.%2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5">
    <w:name w:val="Основной текст (2)"/>
    <w:basedOn w:val="CharStyle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7">
    <w:name w:val="Основной текст (3)_"/>
    <w:basedOn w:val="DefaultParagraphFont"/>
    <w:link w:val="Style6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8">
    <w:name w:val="Основной текст (3)"/>
    <w:basedOn w:val="CharStyle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0">
    <w:name w:val="Основной текст (4)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11">
    <w:name w:val="Основной текст (4)"/>
    <w:basedOn w:val="CharStyle10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3">
    <w:name w:val="Основной текст (5)_"/>
    <w:basedOn w:val="DefaultParagraphFont"/>
    <w:link w:val="Style12"/>
    <w:rPr>
      <w:b w:val="0"/>
      <w:bCs w:val="0"/>
      <w:i w:val="0"/>
      <w:iCs w:val="0"/>
      <w:u w:val="none"/>
      <w:strike w:val="0"/>
      <w:smallCaps w:val="0"/>
      <w:sz w:val="20"/>
      <w:szCs w:val="20"/>
      <w:rFonts w:ascii="Bookman Old Style" w:eastAsia="Bookman Old Style" w:hAnsi="Bookman Old Style" w:cs="Bookman Old Style"/>
    </w:rPr>
  </w:style>
  <w:style w:type="character" w:customStyle="1" w:styleId="CharStyle14">
    <w:name w:val="Основной текст (5) + Times New Roman"/>
    <w:basedOn w:val="CharStyle13"/>
    <w:rPr>
      <w:lang w:val="ru-RU" w:eastAsia="ru-RU" w:bidi="ru-RU"/>
      <w:rFonts w:ascii="Times New Roman" w:eastAsia="Times New Roman" w:hAnsi="Times New Roman" w:cs="Times New Roman"/>
      <w:w w:val="100"/>
      <w:spacing w:val="0"/>
      <w:color w:val="000000"/>
      <w:position w:val="0"/>
    </w:rPr>
  </w:style>
  <w:style w:type="character" w:customStyle="1" w:styleId="CharStyle15">
    <w:name w:val="Основной текст (5)"/>
    <w:basedOn w:val="CharStyle13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6">
    <w:name w:val="Основной текст (2)"/>
    <w:basedOn w:val="CharStyle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8">
    <w:name w:val="Основной текст (6)_"/>
    <w:basedOn w:val="DefaultParagraphFont"/>
    <w:link w:val="Style17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19">
    <w:name w:val="Основной текст (6)"/>
    <w:basedOn w:val="CharStyle18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20">
    <w:name w:val="Основной текст (2) + Полужирный"/>
    <w:basedOn w:val="CharStyle4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22">
    <w:name w:val="Основной текст (7) Exact"/>
    <w:basedOn w:val="DefaultParagraphFont"/>
    <w:link w:val="Style21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49"/>
    </w:rPr>
  </w:style>
  <w:style w:type="character" w:customStyle="1" w:styleId="CharStyle24">
    <w:name w:val="Основной текст (8) Exact"/>
    <w:basedOn w:val="DefaultParagraphFont"/>
    <w:link w:val="Style23"/>
    <w:rPr>
      <w:b w:val="0"/>
      <w:bCs w:val="0"/>
      <w:i w:val="0"/>
      <w:iCs w:val="0"/>
      <w:u w:val="none"/>
      <w:strike w:val="0"/>
      <w:smallCaps w:val="0"/>
      <w:sz w:val="10"/>
      <w:szCs w:val="10"/>
      <w:rFonts w:ascii="Times New Roman" w:eastAsia="Times New Roman" w:hAnsi="Times New Roman" w:cs="Times New Roman"/>
      <w:spacing w:val="2"/>
    </w:rPr>
  </w:style>
  <w:style w:type="character" w:customStyle="1" w:styleId="CharStyle26">
    <w:name w:val="Основной текст_"/>
    <w:basedOn w:val="DefaultParagraphFont"/>
    <w:link w:val="Style25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27">
    <w:name w:val="Основной текст (3)"/>
    <w:basedOn w:val="CharStyle7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28">
    <w:name w:val="Основной текст + Полужирный"/>
    <w:basedOn w:val="CharStyle26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29">
    <w:name w:val="Основной текст"/>
    <w:basedOn w:val="CharStyle26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31">
    <w:name w:val="Основной текст (9)_"/>
    <w:basedOn w:val="DefaultParagraphFont"/>
    <w:link w:val="Style30"/>
    <w:rPr>
      <w:b/>
      <w:bCs/>
      <w:i/>
      <w:iCs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32">
    <w:name w:val="Основной текст (9) + Не полужирный,Не курсив"/>
    <w:basedOn w:val="CharStyle31"/>
    <w:rPr>
      <w:lang w:val="ru-RU" w:eastAsia="ru-RU" w:bidi="ru-RU"/>
      <w:b/>
      <w:bCs/>
      <w:i/>
      <w:iCs/>
      <w:w w:val="100"/>
      <w:spacing w:val="0"/>
      <w:color w:val="000000"/>
      <w:position w:val="0"/>
    </w:rPr>
  </w:style>
  <w:style w:type="character" w:customStyle="1" w:styleId="CharStyle33">
    <w:name w:val="Основной текст + Полужирный,Курсив"/>
    <w:basedOn w:val="CharStyle26"/>
    <w:rPr>
      <w:lang w:val="ru-RU" w:eastAsia="ru-RU" w:bidi="ru-RU"/>
      <w:b/>
      <w:bCs/>
      <w:i/>
      <w:iCs/>
      <w:w w:val="100"/>
      <w:spacing w:val="0"/>
      <w:color w:val="000000"/>
      <w:position w:val="0"/>
    </w:rPr>
  </w:style>
  <w:style w:type="character" w:customStyle="1" w:styleId="CharStyle34">
    <w:name w:val="Основной текст"/>
    <w:basedOn w:val="CharStyle26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36">
    <w:name w:val="Основной текст (10)_"/>
    <w:basedOn w:val="DefaultParagraphFont"/>
    <w:link w:val="Style35"/>
    <w:rPr>
      <w:b w:val="0"/>
      <w:bCs w:val="0"/>
      <w:i/>
      <w:iCs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37">
    <w:name w:val="Основной текст (10) + Полужирный"/>
    <w:basedOn w:val="CharStyle36"/>
    <w:rPr>
      <w:lang w:val="ru-RU" w:eastAsia="ru-RU" w:bidi="ru-RU"/>
      <w:b/>
      <w:bCs/>
      <w:u w:val="single"/>
      <w:w w:val="100"/>
      <w:spacing w:val="0"/>
      <w:color w:val="000000"/>
      <w:position w:val="0"/>
    </w:rPr>
  </w:style>
  <w:style w:type="character" w:customStyle="1" w:styleId="CharStyle38">
    <w:name w:val="Основной текст (10) + Полужирный"/>
    <w:basedOn w:val="CharStyle36"/>
    <w:rPr>
      <w:lang w:val="ru-RU" w:eastAsia="ru-RU" w:bidi="ru-RU"/>
      <w:b/>
      <w:bCs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before="360" w:after="120" w:line="254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6">
    <w:name w:val="Основной текст (3)"/>
    <w:basedOn w:val="Normal"/>
    <w:link w:val="CharStyle7"/>
    <w:pPr>
      <w:widowControl w:val="0"/>
      <w:shd w:val="clear" w:color="auto" w:fill="FFFFFF"/>
      <w:jc w:val="center"/>
      <w:spacing w:before="120" w:after="360" w:line="293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9">
    <w:name w:val="Основной текст (4)"/>
    <w:basedOn w:val="Normal"/>
    <w:link w:val="CharStyle10"/>
    <w:pPr>
      <w:widowControl w:val="0"/>
      <w:shd w:val="clear" w:color="auto" w:fill="FFFFFF"/>
      <w:jc w:val="center"/>
      <w:spacing w:before="360" w:after="360" w:line="197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12">
    <w:name w:val="Основной текст (5)"/>
    <w:basedOn w:val="Normal"/>
    <w:link w:val="CharStyle13"/>
    <w:pPr>
      <w:widowControl w:val="0"/>
      <w:shd w:val="clear" w:color="auto" w:fill="FFFFFF"/>
      <w:jc w:val="both"/>
      <w:spacing w:before="360" w:after="180" w:line="0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Bookman Old Style" w:eastAsia="Bookman Old Style" w:hAnsi="Bookman Old Style" w:cs="Bookman Old Style"/>
    </w:rPr>
  </w:style>
  <w:style w:type="paragraph" w:customStyle="1" w:styleId="Style17">
    <w:name w:val="Основной текст (6)"/>
    <w:basedOn w:val="Normal"/>
    <w:link w:val="CharStyle18"/>
    <w:pPr>
      <w:widowControl w:val="0"/>
      <w:shd w:val="clear" w:color="auto" w:fill="FFFFFF"/>
      <w:spacing w:line="418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21">
    <w:name w:val="Основной текст (7)"/>
    <w:basedOn w:val="Normal"/>
    <w:link w:val="CharStyle22"/>
    <w:pPr>
      <w:widowControl w:val="0"/>
      <w:shd w:val="clear" w:color="auto" w:fill="FFFFFF"/>
      <w:spacing w:line="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49"/>
    </w:rPr>
  </w:style>
  <w:style w:type="paragraph" w:customStyle="1" w:styleId="Style23">
    <w:name w:val="Основной текст (8)"/>
    <w:basedOn w:val="Normal"/>
    <w:link w:val="CharStyle24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0"/>
      <w:szCs w:val="10"/>
      <w:rFonts w:ascii="Times New Roman" w:eastAsia="Times New Roman" w:hAnsi="Times New Roman" w:cs="Times New Roman"/>
      <w:spacing w:val="2"/>
    </w:rPr>
  </w:style>
  <w:style w:type="paragraph" w:customStyle="1" w:styleId="Style25">
    <w:name w:val="Основной текст"/>
    <w:basedOn w:val="Normal"/>
    <w:link w:val="CharStyle26"/>
    <w:pPr>
      <w:widowControl w:val="0"/>
      <w:shd w:val="clear" w:color="auto" w:fill="FFFFFF"/>
      <w:jc w:val="both"/>
      <w:spacing w:before="180" w:after="60" w:line="269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30">
    <w:name w:val="Основной текст (9)"/>
    <w:basedOn w:val="Normal"/>
    <w:link w:val="CharStyle31"/>
    <w:pPr>
      <w:widowControl w:val="0"/>
      <w:shd w:val="clear" w:color="auto" w:fill="FFFFFF"/>
      <w:jc w:val="both"/>
      <w:spacing w:line="269" w:lineRule="exact"/>
      <w:ind w:firstLine="860"/>
    </w:pPr>
    <w:rPr>
      <w:b/>
      <w:bCs/>
      <w:i/>
      <w:iCs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35">
    <w:name w:val="Основной текст (10)"/>
    <w:basedOn w:val="Normal"/>
    <w:link w:val="CharStyle36"/>
    <w:pPr>
      <w:widowControl w:val="0"/>
      <w:shd w:val="clear" w:color="auto" w:fill="FFFFFF"/>
      <w:jc w:val="both"/>
      <w:spacing w:before="120" w:after="540" w:line="230" w:lineRule="exact"/>
    </w:pPr>
    <w:rPr>
      <w:b w:val="0"/>
      <w:bCs w:val="0"/>
      <w:i/>
      <w:iCs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