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512" w:left="2709" w:right="8206" w:bottom="541" w:header="0" w:footer="3" w:gutter="0"/>
          <w:rtlGutter w:val="0"/>
          <w:cols w:space="720"/>
          <w:noEndnote/>
          <w:docGrid w:linePitch="360"/>
        </w:sectPr>
      </w:pPr>
    </w:p>
    <w:p>
      <w:pPr>
        <w:widowControl w:val="0"/>
        <w:spacing w:before="4" w:after="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keepLines/>
        <w:shd w:val="clear" w:color="auto" w:fill="auto"/>
        <w:bidi w:val="0"/>
        <w:spacing w:before="0" w:after="289"/>
        <w:ind w:left="0" w:right="0" w:firstLine="0"/>
      </w:pPr>
      <w:bookmarkStart w:id="0" w:name="bookmark0"/>
      <w:r>
        <w:rPr>
          <w:lang w:val="ru-RU" w:eastAsia="ru-RU" w:bidi="ru-RU"/>
          <w:w w:val="100"/>
          <w:spacing w:val="0"/>
          <w:color w:val="000000"/>
          <w:position w:val="0"/>
        </w:rPr>
        <w:t>ФЕДЕРАЛЬНАЯ АНТИМОНОПОЛЬНАЯ СЛУЖБА</w:t>
      </w:r>
      <w:bookmarkEnd w:id="0"/>
    </w:p>
    <w:p>
      <w:pPr>
        <w:pStyle w:val="Style5"/>
        <w:widowControl w:val="0"/>
        <w:keepNext w:val="0"/>
        <w:keepLines w:val="0"/>
        <w:shd w:val="clear" w:color="auto" w:fill="auto"/>
        <w:bidi w:val="0"/>
        <w:spacing w:before="0" w:after="281"/>
        <w:ind w:left="0" w:right="0" w:firstLine="0"/>
      </w:pPr>
      <w:r>
        <w:rPr>
          <w:lang w:val="ru-RU" w:eastAsia="ru-RU" w:bidi="ru-RU"/>
          <w:w w:val="100"/>
          <w:spacing w:val="0"/>
          <w:color w:val="000000"/>
          <w:position w:val="0"/>
        </w:rPr>
        <w:t>УПРАВЛЕНИЕ Федеральной антимонопольной службы по Забайкальскому краю</w:t>
      </w:r>
    </w:p>
    <w:p>
      <w:pPr>
        <w:pStyle w:val="Style7"/>
        <w:widowControl w:val="0"/>
        <w:keepNext w:val="0"/>
        <w:keepLines w:val="0"/>
        <w:shd w:val="clear" w:color="auto" w:fill="auto"/>
        <w:bidi w:val="0"/>
        <w:spacing w:before="0" w:after="217"/>
        <w:ind w:left="0" w:right="0" w:firstLine="0"/>
      </w:pPr>
      <w:r>
        <w:rPr>
          <w:lang w:val="ru-RU" w:eastAsia="ru-RU" w:bidi="ru-RU"/>
          <w:w w:val="100"/>
          <w:spacing w:val="0"/>
          <w:color w:val="000000"/>
          <w:position w:val="0"/>
        </w:rPr>
        <w:t xml:space="preserve">ул. Лермонтова ,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9"/>
        <w:numPr>
          <w:ilvl w:val="0"/>
          <w:numId w:val="1"/>
        </w:numPr>
        <w:tabs>
          <w:tab w:leader="none" w:pos="2653" w:val="center"/>
          <w:tab w:leader="none" w:pos="2156" w:val="left"/>
        </w:tabs>
        <w:widowControl w:val="0"/>
        <w:keepNext w:val="0"/>
        <w:keepLines w:val="0"/>
        <w:shd w:val="clear" w:color="auto" w:fill="auto"/>
        <w:bidi w:val="0"/>
        <w:jc w:val="left"/>
        <w:spacing w:before="0" w:after="0"/>
        <w:ind w:left="1040" w:right="820" w:firstLine="0"/>
      </w:pPr>
      <w:r>
        <w:rPr>
          <w:rStyle w:val="CharStyle11"/>
        </w:rPr>
        <w:t xml:space="preserve">№ </w:t>
      </w:r>
      <w:r>
        <w:rPr>
          <w:lang w:val="ru-RU" w:eastAsia="ru-RU" w:bidi="ru-RU"/>
          <w:w w:val="100"/>
          <w:spacing w:val="0"/>
          <w:color w:val="000000"/>
          <w:position w:val="0"/>
        </w:rPr>
        <w:t>04</w:t>
      </w:r>
      <w:r>
        <w:rPr>
          <w:rStyle w:val="CharStyle11"/>
        </w:rPr>
        <w:t>-</w:t>
      </w:r>
      <w:r>
        <w:rPr>
          <w:lang w:val="ru-RU" w:eastAsia="ru-RU" w:bidi="ru-RU"/>
          <w:w w:val="100"/>
          <w:spacing w:val="0"/>
          <w:color w:val="000000"/>
          <w:position w:val="0"/>
        </w:rPr>
        <w:t xml:space="preserve">03-^93 </w:t>
      </w:r>
      <w:r>
        <w:rPr>
          <w:rStyle w:val="CharStyle12"/>
        </w:rPr>
        <w:t>На №</w:t>
        <w:tab/>
        <w:t>от</w:t>
      </w:r>
    </w:p>
    <w:p>
      <w:pPr>
        <w:pStyle w:val="Style13"/>
        <w:widowControl w:val="0"/>
        <w:keepNext w:val="0"/>
        <w:keepLines w:val="0"/>
        <w:shd w:val="clear" w:color="auto" w:fill="auto"/>
        <w:bidi w:val="0"/>
        <w:spacing w:before="0" w:after="0" w:line="210" w:lineRule="exact"/>
        <w:ind w:left="0" w:right="0" w:firstLine="0"/>
      </w:pPr>
      <w:r>
        <w:rPr>
          <w:lang w:val="ru-RU" w:eastAsia="ru-RU" w:bidi="ru-RU"/>
          <w:w w:val="100"/>
          <w:spacing w:val="0"/>
          <w:color w:val="000000"/>
          <w:position w:val="0"/>
        </w:rPr>
        <w:t>Заявитель:</w:t>
      </w:r>
    </w:p>
    <w:p>
      <w:pPr>
        <w:pStyle w:val="Style13"/>
        <w:widowControl w:val="0"/>
        <w:keepNext w:val="0"/>
        <w:keepLines w:val="0"/>
        <w:shd w:val="clear" w:color="auto" w:fill="auto"/>
        <w:bidi w:val="0"/>
        <w:spacing w:before="0" w:after="0" w:line="230" w:lineRule="exact"/>
        <w:ind w:left="0" w:right="0" w:firstLine="0"/>
      </w:pPr>
      <w:r>
        <w:rPr>
          <w:lang w:val="ru-RU" w:eastAsia="ru-RU" w:bidi="ru-RU"/>
          <w:w w:val="100"/>
          <w:spacing w:val="0"/>
          <w:color w:val="000000"/>
          <w:position w:val="0"/>
        </w:rPr>
        <w:t>ООО «Русробот»</w:t>
      </w:r>
    </w:p>
    <w:p>
      <w:pPr>
        <w:pStyle w:val="Style7"/>
        <w:widowControl w:val="0"/>
        <w:keepNext w:val="0"/>
        <w:keepLines w:val="0"/>
        <w:shd w:val="clear" w:color="auto" w:fill="auto"/>
        <w:bidi w:val="0"/>
        <w:spacing w:before="0" w:after="223"/>
        <w:ind w:left="0" w:right="0" w:firstLine="0"/>
      </w:pPr>
      <w:r>
        <w:rPr>
          <w:lang w:val="ru-RU" w:eastAsia="ru-RU" w:bidi="ru-RU"/>
          <w:w w:val="100"/>
          <w:spacing w:val="0"/>
          <w:color w:val="000000"/>
          <w:position w:val="0"/>
        </w:rPr>
        <w:t xml:space="preserve">Науки пр-кт, д. 38, литер А, пом. 2-Н, ком. 3, г. Санкт-Петербург, 195252 </w:t>
      </w:r>
      <w:r>
        <w:fldChar w:fldCharType="begin"/>
      </w:r>
      <w:r>
        <w:rPr>
          <w:color w:val="000000"/>
        </w:rPr>
        <w:instrText> HYPERLINK "mailto:rusrobot.spb@gmail.com" </w:instrText>
      </w:r>
      <w:r>
        <w:fldChar w:fldCharType="separate"/>
      </w:r>
      <w:r>
        <w:rPr>
          <w:rStyle w:val="Hyperlink"/>
          <w:lang w:val="en-US" w:eastAsia="en-US" w:bidi="en-US"/>
          <w:w w:val="100"/>
          <w:spacing w:val="0"/>
          <w:position w:val="0"/>
        </w:rPr>
        <w:t>rusrobot.spb@gmail.com</w:t>
      </w:r>
      <w:r>
        <w:fldChar w:fldCharType="end"/>
      </w:r>
    </w:p>
    <w:p>
      <w:pPr>
        <w:pStyle w:val="Style13"/>
        <w:widowControl w:val="0"/>
        <w:keepNext w:val="0"/>
        <w:keepLines w:val="0"/>
        <w:shd w:val="clear" w:color="auto" w:fill="auto"/>
        <w:bidi w:val="0"/>
        <w:spacing w:before="0" w:after="0" w:line="252" w:lineRule="exact"/>
        <w:ind w:left="0" w:right="0" w:firstLine="0"/>
      </w:pPr>
      <w:r>
        <w:rPr>
          <w:lang w:val="ru-RU" w:eastAsia="ru-RU" w:bidi="ru-RU"/>
          <w:w w:val="100"/>
          <w:spacing w:val="0"/>
          <w:color w:val="000000"/>
          <w:position w:val="0"/>
        </w:rPr>
        <w:t>Заказчик:</w:t>
      </w:r>
    </w:p>
    <w:p>
      <w:pPr>
        <w:pStyle w:val="Style13"/>
        <w:widowControl w:val="0"/>
        <w:keepNext w:val="0"/>
        <w:keepLines w:val="0"/>
        <w:shd w:val="clear" w:color="auto" w:fill="auto"/>
        <w:bidi w:val="0"/>
        <w:spacing w:before="0" w:after="0" w:line="252" w:lineRule="exact"/>
        <w:ind w:left="0" w:right="0" w:firstLine="0"/>
      </w:pPr>
      <w:r>
        <w:rPr>
          <w:lang w:val="ru-RU" w:eastAsia="ru-RU" w:bidi="ru-RU"/>
          <w:w w:val="100"/>
          <w:spacing w:val="0"/>
          <w:color w:val="000000"/>
          <w:position w:val="0"/>
        </w:rPr>
        <w:t>ГКУ «Служба единого заказчика» Забайкальского края</w:t>
      </w:r>
    </w:p>
    <w:p>
      <w:pPr>
        <w:pStyle w:val="Style7"/>
        <w:widowControl w:val="0"/>
        <w:keepNext w:val="0"/>
        <w:keepLines w:val="0"/>
        <w:shd w:val="clear" w:color="auto" w:fill="auto"/>
        <w:bidi w:val="0"/>
        <w:spacing w:before="0" w:after="223"/>
        <w:ind w:left="0" w:right="0" w:firstLine="0"/>
      </w:pPr>
      <w:r>
        <w:rPr>
          <w:lang w:val="ru-RU" w:eastAsia="ru-RU" w:bidi="ru-RU"/>
          <w:w w:val="100"/>
          <w:spacing w:val="0"/>
          <w:color w:val="000000"/>
          <w:position w:val="0"/>
        </w:rPr>
        <w:t xml:space="preserve">Забайкальского Рабочего ул., д. 68, г. Чита, 672010 </w:t>
      </w:r>
      <w:r>
        <w:fldChar w:fldCharType="begin"/>
      </w:r>
      <w:r>
        <w:rPr>
          <w:color w:val="000000"/>
        </w:rPr>
        <w:instrText> HYPERLINK "mailto:priemnaya@gkusez.ru" </w:instrText>
      </w:r>
      <w:r>
        <w:fldChar w:fldCharType="separate"/>
      </w:r>
      <w:r>
        <w:rPr>
          <w:rStyle w:val="Hyperlink"/>
          <w:lang w:val="en-US" w:eastAsia="en-US" w:bidi="en-US"/>
          <w:w w:val="100"/>
          <w:spacing w:val="0"/>
          <w:position w:val="0"/>
        </w:rPr>
        <w:t>priemnaya@gkusez.ru</w:t>
      </w:r>
      <w:r>
        <w:fldChar w:fldCharType="end"/>
      </w:r>
    </w:p>
    <w:p>
      <w:pPr>
        <w:pStyle w:val="Style13"/>
        <w:widowControl w:val="0"/>
        <w:keepNext w:val="0"/>
        <w:keepLines w:val="0"/>
        <w:shd w:val="clear" w:color="auto" w:fill="auto"/>
        <w:bidi w:val="0"/>
        <w:spacing w:before="0" w:after="0" w:line="252" w:lineRule="exact"/>
        <w:ind w:left="0" w:right="0" w:firstLine="0"/>
      </w:pPr>
      <w:r>
        <w:rPr>
          <w:lang w:val="ru-RU" w:eastAsia="ru-RU" w:bidi="ru-RU"/>
          <w:w w:val="100"/>
          <w:spacing w:val="0"/>
          <w:color w:val="000000"/>
          <w:position w:val="0"/>
        </w:rPr>
        <w:t>Уполномоченное учреждение:</w:t>
      </w:r>
    </w:p>
    <w:p>
      <w:pPr>
        <w:pStyle w:val="Style13"/>
        <w:widowControl w:val="0"/>
        <w:keepNext w:val="0"/>
        <w:keepLines w:val="0"/>
        <w:shd w:val="clear" w:color="auto" w:fill="auto"/>
        <w:bidi w:val="0"/>
        <w:spacing w:before="0" w:after="0" w:line="252" w:lineRule="exact"/>
        <w:ind w:left="0" w:right="0" w:firstLine="0"/>
      </w:pPr>
      <w:r>
        <w:rPr>
          <w:lang w:val="ru-RU" w:eastAsia="ru-RU" w:bidi="ru-RU"/>
          <w:w w:val="100"/>
          <w:spacing w:val="0"/>
          <w:color w:val="000000"/>
          <w:position w:val="0"/>
        </w:rPr>
        <w:t>ГКУ «Забайкальский центр государственных закупок»</w:t>
      </w:r>
    </w:p>
    <w:p>
      <w:pPr>
        <w:pStyle w:val="Style7"/>
        <w:widowControl w:val="0"/>
        <w:keepNext w:val="0"/>
        <w:keepLines w:val="0"/>
        <w:shd w:val="clear" w:color="auto" w:fill="auto"/>
        <w:bidi w:val="0"/>
        <w:spacing w:before="0" w:after="0" w:line="234" w:lineRule="exact"/>
        <w:ind w:left="0" w:right="0" w:firstLine="0"/>
        <w:sectPr>
          <w:type w:val="continuous"/>
          <w:pgSz w:w="11906" w:h="16838"/>
          <w:pgMar w:top="512" w:left="1086" w:right="1100" w:bottom="541" w:header="0" w:footer="3" w:gutter="0"/>
          <w:rtlGutter w:val="0"/>
          <w:cols w:num="2" w:space="461"/>
          <w:noEndnote/>
          <w:docGrid w:linePitch="360"/>
        </w:sectPr>
      </w:pPr>
      <w:r>
        <w:rPr>
          <w:lang w:val="ru-RU" w:eastAsia="ru-RU" w:bidi="ru-RU"/>
          <w:w w:val="100"/>
          <w:spacing w:val="0"/>
          <w:color w:val="000000"/>
          <w:position w:val="0"/>
        </w:rPr>
        <w:t xml:space="preserve">Амурская ул., д. 13, г. Чита, 672010 </w:t>
      </w:r>
      <w:r>
        <w:fldChar w:fldCharType="begin"/>
      </w:r>
      <w:r>
        <w:rPr>
          <w:color w:val="000000"/>
        </w:rPr>
        <w:instrText> HYPERLINK "mailto:zabgoszakup@goszak.e-zab.ru" </w:instrText>
      </w:r>
      <w:r>
        <w:fldChar w:fldCharType="separate"/>
      </w:r>
      <w:r>
        <w:rPr>
          <w:rStyle w:val="Hyperlink"/>
          <w:lang w:val="en-US" w:eastAsia="en-US" w:bidi="en-US"/>
          <w:w w:val="100"/>
          <w:spacing w:val="0"/>
          <w:position w:val="0"/>
        </w:rPr>
        <w:t>zabgoszakup@goszak.</w:t>
      </w:r>
      <w:r>
        <w:rPr>
          <w:rStyle w:val="Hyperlink"/>
        </w:rPr>
        <w:t>e-zab.ru</w:t>
      </w:r>
      <w:r>
        <w:fldChar w:fldCharType="end"/>
      </w: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РЕШЕНИЕ</w:t>
      </w:r>
    </w:p>
    <w:p>
      <w:pPr>
        <w:pStyle w:val="Style5"/>
        <w:widowControl w:val="0"/>
        <w:keepNext w:val="0"/>
        <w:keepLines w:val="0"/>
        <w:shd w:val="clear" w:color="auto" w:fill="auto"/>
        <w:bidi w:val="0"/>
        <w:spacing w:before="0" w:after="275" w:line="274" w:lineRule="exact"/>
        <w:ind w:left="0" w:right="0" w:firstLine="0"/>
      </w:pPr>
      <w:r>
        <w:rPr>
          <w:lang w:val="ru-RU" w:eastAsia="ru-RU" w:bidi="ru-RU"/>
          <w:w w:val="100"/>
          <w:spacing w:val="0"/>
          <w:color w:val="000000"/>
          <w:position w:val="0"/>
        </w:rPr>
        <w:t>по рассмотрению жалобы №075/06/66-732/2020 о нарушении законодательства при осуществлении закупки</w:t>
      </w:r>
    </w:p>
    <w:p>
      <w:pPr>
        <w:pStyle w:val="Style16"/>
        <w:tabs>
          <w:tab w:leader="none" w:pos="7364" w:val="left"/>
        </w:tabs>
        <w:widowControl w:val="0"/>
        <w:keepNext w:val="0"/>
        <w:keepLines w:val="0"/>
        <w:shd w:val="clear" w:color="auto" w:fill="auto"/>
        <w:bidi w:val="0"/>
        <w:spacing w:before="0" w:after="211" w:line="230" w:lineRule="exact"/>
        <w:ind w:left="20" w:right="0" w:firstLine="0"/>
      </w:pPr>
      <w:r>
        <w:rPr>
          <w:lang w:val="ru-RU" w:eastAsia="ru-RU" w:bidi="ru-RU"/>
          <w:w w:val="100"/>
          <w:spacing w:val="0"/>
          <w:color w:val="000000"/>
          <w:position w:val="0"/>
        </w:rPr>
        <w:t>16 декабря 2020 года</w:t>
        <w:tab/>
        <w:t>г. Чита, ул. Лермонтова, 14</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Забайкальского УФАС России; членов комиссии: Китаевой И.С. главного специалиста-эксперта отдела контроля закупок Забайкальского УФАС России, Осиповой А.О. главного специалиста- эксперта отдела контроля закупок Забайкальского УФАС России,</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рассмотрев поступившую 10.12.2020 жалобу ООО «Русробот»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членами аукционной комиссии уполномоченного учреждения - ГКУ «Забайкальский центр государственных закупок» при осуществлении закупки на оказание услуг аренды автоматизированной системы весогабаритного контроля, включающей в себя оборудование автоматических пунктов весогабаритного контроля на автомобильных дорогах регионального или межмуниципального значения Забайкальского края (реестровый № </w:t>
      </w:r>
      <w:r>
        <w:rPr>
          <w:rStyle w:val="CharStyle18"/>
        </w:rPr>
        <w:t>0891200000620011705)</w:t>
      </w:r>
      <w:r>
        <w:rPr>
          <w:lang w:val="ru-RU" w:eastAsia="ru-RU" w:bidi="ru-RU"/>
          <w:w w:val="100"/>
          <w:spacing w:val="0"/>
          <w:color w:val="000000"/>
          <w:position w:val="0"/>
        </w:rPr>
        <w:t>,</w:t>
      </w:r>
    </w:p>
    <w:p>
      <w:pPr>
        <w:pStyle w:val="Style16"/>
        <w:tabs>
          <w:tab w:leader="none" w:pos="8451" w:val="left"/>
        </w:tabs>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при участии по видеоконференцсвязи представителя заказчика:</w:t>
        <w:tab/>
        <w:t>Воробьева А.В.</w:t>
      </w:r>
    </w:p>
    <w:p>
      <w:pPr>
        <w:pStyle w:val="Style16"/>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(доверенность от 24.01.2020 №09/325), уполномоченного учреждения - Шимохиной К.В. (доверенность от 08.06.2020 №4); участника закупки ПАО «Вымпелком» Попенко В.В. (доверенность от 28.02.2018 №ШК-18-274),</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отсутствие представителя заявителя (о дате, времени и месте рассмотрения жалобы уведомлен надлежащим образом),</w:t>
      </w:r>
    </w:p>
    <w:p>
      <w:pPr>
        <w:pStyle w:val="Style5"/>
        <w:widowControl w:val="0"/>
        <w:keepNext w:val="0"/>
        <w:keepLines w:val="0"/>
        <w:shd w:val="clear" w:color="auto" w:fill="auto"/>
        <w:bidi w:val="0"/>
        <w:jc w:val="left"/>
        <w:spacing w:before="0" w:after="243" w:line="274" w:lineRule="exact"/>
        <w:ind w:left="4520" w:right="0" w:firstLine="0"/>
      </w:pPr>
      <w:r>
        <w:rPr>
          <w:lang w:val="ru-RU" w:eastAsia="ru-RU" w:bidi="ru-RU"/>
          <w:w w:val="100"/>
          <w:spacing w:val="0"/>
          <w:color w:val="000000"/>
          <w:position w:val="0"/>
        </w:rPr>
        <w:t>УСТАНОВИЛА:</w:t>
      </w:r>
    </w:p>
    <w:p>
      <w:pPr>
        <w:pStyle w:val="Style16"/>
        <w:numPr>
          <w:ilvl w:val="0"/>
          <w:numId w:val="3"/>
        </w:numPr>
        <w:tabs>
          <w:tab w:leader="none" w:pos="1968" w:val="left"/>
        </w:tabs>
        <w:widowControl w:val="0"/>
        <w:keepNext w:val="0"/>
        <w:keepLines w:val="0"/>
        <w:shd w:val="clear" w:color="auto" w:fill="auto"/>
        <w:bidi w:val="0"/>
        <w:spacing w:before="0" w:after="0" w:line="270" w:lineRule="exact"/>
        <w:ind w:left="20" w:right="20" w:firstLine="720"/>
      </w:pPr>
      <w:r>
        <w:rPr>
          <w:lang w:val="ru-RU" w:eastAsia="ru-RU" w:bidi="ru-RU"/>
          <w:w w:val="100"/>
          <w:spacing w:val="0"/>
          <w:color w:val="000000"/>
          <w:position w:val="0"/>
        </w:rPr>
        <w:t>в Забайкальское УФАС России поступила жалоба от ООО «Русробот» на нарушение требований Закона о контрактной системе членами аукционной комиссии уполномоченного учреждения - ГКУ «Забайкальский центр государственных закупок» при осуществлении закупки №0891200000620011705. Заявитель не согласен с отклонением первой части заявки общества - обжалует отказ в допуске к участию в аукционе по основанию, изложенному в пункте 7, указывая, что сеть передачи данных, описание работ по организации каналов связи не является конкретным показателем товара и не подлежит указанию в заявке в силу части 3 статьи 66 Закона о контрактной системе. Заявителем указано на ненадлежащим образом установленные требования в техническом задании и инструкции по заполнению заявки.</w:t>
      </w:r>
    </w:p>
    <w:p>
      <w:pPr>
        <w:pStyle w:val="Style16"/>
        <w:widowControl w:val="0"/>
        <w:keepNext w:val="0"/>
        <w:keepLines w:val="0"/>
        <w:shd w:val="clear" w:color="auto" w:fill="auto"/>
        <w:bidi w:val="0"/>
        <w:spacing w:before="0" w:after="0" w:line="274" w:lineRule="exact"/>
        <w:ind w:left="20" w:right="20" w:firstLine="720"/>
      </w:pPr>
      <w:r>
        <w:rPr>
          <w:rStyle w:val="CharStyle19"/>
        </w:rPr>
        <w:t xml:space="preserve">Представители заказчика и уполномоченного учреждения </w:t>
      </w:r>
      <w:r>
        <w:rPr>
          <w:lang w:val="ru-RU" w:eastAsia="ru-RU" w:bidi="ru-RU"/>
          <w:w w:val="100"/>
          <w:spacing w:val="0"/>
          <w:color w:val="000000"/>
          <w:position w:val="0"/>
        </w:rPr>
        <w:t>не согласились с доводами заявителя, пояснив, что заявка общества (№155965) составлена ненадлежащим образом, отклонена по многочисленным основаниям, изложенным в приложении к протоколу рассмотрения и оценки заявок от 08.12.2020, а именно:</w:t>
      </w:r>
    </w:p>
    <w:p>
      <w:pPr>
        <w:pStyle w:val="Style20"/>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 xml:space="preserve">«Отказать в допуске к участию в электронном аукционе: в первой части заявки на участие в электронном аукционе описание предлагаемого к использованию товара, который будет поставляться при выполнении работ (оказании услуг) не соответствует описанию объекта закупки, указанному в документации о проведении аукциона, а именно: в заявке участника по </w:t>
      </w:r>
      <w:r>
        <w:rPr>
          <w:rStyle w:val="CharStyle22"/>
          <w:i/>
          <w:iCs/>
        </w:rPr>
        <w:t xml:space="preserve">п. </w:t>
      </w:r>
      <w:r>
        <w:rPr>
          <w:lang w:val="ru-RU" w:eastAsia="ru-RU" w:bidi="ru-RU"/>
          <w:w w:val="100"/>
          <w:spacing w:val="0"/>
          <w:color w:val="000000"/>
          <w:position w:val="0"/>
        </w:rPr>
        <w:t>1 отсутствует следующая информация о товаре</w:t>
      </w:r>
    </w:p>
    <w:p>
      <w:pPr>
        <w:pStyle w:val="Style20"/>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«Подсистема вес о габаритно го контроля предусматривает оперативное круглосуточное измерение весовых и габаритных параметров грузовых ТС, выявление ТС (с распознаванием государственного регистрационного знака (далее — ГРЗ) ТС), движупцихся с превышением предельно допустимых норм, установленных в действующем законодательстве Российской Федерации и нормативных актов Забайкальского края, фотовидеофиксацию ТС с выявленными превышениями допустимых норм, передачу информации о таких ТС ГИБДД МВД РФ для определения состава административных правонарушений.</w:t>
      </w:r>
    </w:p>
    <w:p>
      <w:pPr>
        <w:pStyle w:val="Style20"/>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Подсистема весогабаритного контроля обеспечивает возможность контроля вес о габаритных параметров ТС в двух направлениях движения.</w:t>
      </w:r>
    </w:p>
    <w:p>
      <w:pPr>
        <w:pStyle w:val="Style20"/>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Подсистема весогабаритного контроля обеспечивает фиксацию объезда измерительного оборудования по встречной и разделительной полосе с распознаванием ГРЗ ТС и проведением весогабаритных измерений.</w:t>
      </w:r>
    </w:p>
    <w:p>
      <w:pPr>
        <w:pStyle w:val="Style20"/>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Подсистема весогабаритного контроля обеспечивает круглосуточную передачу информации о выявленных весовых и габаритных параметрах ТС, включая информацию о грузовых ТС, в ЦОД по защищенным каналам связи.</w:t>
      </w:r>
    </w:p>
    <w:p>
      <w:pPr>
        <w:pStyle w:val="Style20"/>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Подсистема весогабаритного контроля обеспечивает сбор в автоматическом режиме следующих параметров и данных о ТС, проходящих зону мониторинга элементов весогабаритного контроля в соответствии с пунктом 39 Приказа №119:</w:t>
      </w:r>
    </w:p>
    <w:p>
      <w:pPr>
        <w:pStyle w:val="Style20"/>
        <w:numPr>
          <w:ilvl w:val="0"/>
          <w:numId w:val="5"/>
        </w:numPr>
        <w:widowControl w:val="0"/>
        <w:keepNext w:val="0"/>
        <w:keepLines w:val="0"/>
        <w:shd w:val="clear" w:color="auto" w:fill="auto"/>
        <w:bidi w:val="0"/>
        <w:spacing w:before="0" w:after="0"/>
        <w:ind w:left="20" w:right="0" w:firstLine="400"/>
      </w:pPr>
      <w:r>
        <w:rPr>
          <w:lang w:val="ru-RU" w:eastAsia="ru-RU" w:bidi="ru-RU"/>
          <w:w w:val="100"/>
          <w:spacing w:val="0"/>
          <w:color w:val="000000"/>
          <w:position w:val="0"/>
        </w:rPr>
        <w:t xml:space="preserve"> измерение общей массы транспортного средства;</w:t>
      </w:r>
    </w:p>
    <w:p>
      <w:pPr>
        <w:pStyle w:val="Style20"/>
        <w:numPr>
          <w:ilvl w:val="0"/>
          <w:numId w:val="5"/>
        </w:numPr>
        <w:widowControl w:val="0"/>
        <w:keepNext w:val="0"/>
        <w:keepLines w:val="0"/>
        <w:shd w:val="clear" w:color="auto" w:fill="auto"/>
        <w:bidi w:val="0"/>
        <w:spacing w:before="0" w:after="0"/>
        <w:ind w:left="20" w:right="0" w:firstLine="400"/>
      </w:pPr>
      <w:r>
        <w:rPr>
          <w:rStyle w:val="CharStyle23"/>
          <w:i w:val="0"/>
          <w:iCs w:val="0"/>
        </w:rPr>
        <w:t xml:space="preserve"> </w:t>
      </w:r>
      <w:r>
        <w:rPr>
          <w:lang w:val="ru-RU" w:eastAsia="ru-RU" w:bidi="ru-RU"/>
          <w:w w:val="100"/>
          <w:spacing w:val="0"/>
          <w:color w:val="000000"/>
          <w:position w:val="0"/>
        </w:rPr>
        <w:t>измерение нагрузок, приходящихся на каждую ось транспортного средства;</w:t>
      </w:r>
    </w:p>
    <w:p>
      <w:pPr>
        <w:pStyle w:val="Style20"/>
        <w:numPr>
          <w:ilvl w:val="0"/>
          <w:numId w:val="5"/>
        </w:numPr>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 xml:space="preserve"> определение количества осей транспортного средства и отнесение транспортного средства к соответствующей категории (прилоэюение </w:t>
      </w:r>
      <w:r>
        <w:rPr>
          <w:lang w:val="en-US" w:eastAsia="en-US" w:bidi="en-US"/>
          <w:w w:val="100"/>
          <w:spacing w:val="0"/>
          <w:color w:val="000000"/>
          <w:position w:val="0"/>
        </w:rPr>
        <w:t xml:space="preserve">N </w:t>
      </w:r>
      <w:r>
        <w:rPr>
          <w:lang w:val="ru-RU" w:eastAsia="ru-RU" w:bidi="ru-RU"/>
          <w:w w:val="100"/>
          <w:spacing w:val="0"/>
          <w:color w:val="000000"/>
          <w:position w:val="0"/>
        </w:rPr>
        <w:t>3 Приказа);</w:t>
      </w:r>
    </w:p>
    <w:p>
      <w:pPr>
        <w:pStyle w:val="Style20"/>
        <w:numPr>
          <w:ilvl w:val="0"/>
          <w:numId w:val="5"/>
        </w:numPr>
        <w:widowControl w:val="0"/>
        <w:keepNext w:val="0"/>
        <w:keepLines w:val="0"/>
        <w:shd w:val="clear" w:color="auto" w:fill="auto"/>
        <w:bidi w:val="0"/>
        <w:spacing w:before="0" w:after="0"/>
        <w:ind w:left="20" w:right="0" w:firstLine="400"/>
      </w:pPr>
      <w:r>
        <w:rPr>
          <w:lang w:val="ru-RU" w:eastAsia="ru-RU" w:bidi="ru-RU"/>
          <w:w w:val="100"/>
          <w:spacing w:val="0"/>
          <w:color w:val="000000"/>
          <w:position w:val="0"/>
        </w:rPr>
        <w:t xml:space="preserve"> измерение межосевых расстояний транспортного средства;</w:t>
      </w:r>
    </w:p>
    <w:p>
      <w:pPr>
        <w:pStyle w:val="Style20"/>
        <w:numPr>
          <w:ilvl w:val="0"/>
          <w:numId w:val="5"/>
        </w:numPr>
        <w:widowControl w:val="0"/>
        <w:keepNext w:val="0"/>
        <w:keepLines w:val="0"/>
        <w:shd w:val="clear" w:color="auto" w:fill="auto"/>
        <w:bidi w:val="0"/>
        <w:spacing w:before="0" w:after="0"/>
        <w:ind w:left="20" w:right="0" w:firstLine="400"/>
      </w:pPr>
      <w:r>
        <w:rPr>
          <w:lang w:val="ru-RU" w:eastAsia="ru-RU" w:bidi="ru-RU"/>
          <w:w w:val="100"/>
          <w:spacing w:val="0"/>
          <w:color w:val="000000"/>
          <w:position w:val="0"/>
        </w:rPr>
        <w:t xml:space="preserve"> определение количества колес (скатности) на осях транспортного средства;</w:t>
      </w:r>
    </w:p>
    <w:p>
      <w:pPr>
        <w:pStyle w:val="Style20"/>
        <w:numPr>
          <w:ilvl w:val="0"/>
          <w:numId w:val="5"/>
        </w:numPr>
        <w:widowControl w:val="0"/>
        <w:keepNext w:val="0"/>
        <w:keepLines w:val="0"/>
        <w:shd w:val="clear" w:color="auto" w:fill="auto"/>
        <w:bidi w:val="0"/>
        <w:spacing w:before="0" w:after="0"/>
        <w:ind w:left="20" w:right="0" w:firstLine="400"/>
      </w:pPr>
      <w:r>
        <w:rPr>
          <w:lang w:val="ru-RU" w:eastAsia="ru-RU" w:bidi="ru-RU"/>
          <w:w w:val="100"/>
          <w:spacing w:val="0"/>
          <w:color w:val="000000"/>
          <w:position w:val="0"/>
        </w:rPr>
        <w:t xml:space="preserve"> измерение габаритов транспортного средства;</w:t>
      </w:r>
    </w:p>
    <w:p>
      <w:pPr>
        <w:pStyle w:val="Style20"/>
        <w:numPr>
          <w:ilvl w:val="0"/>
          <w:numId w:val="5"/>
        </w:numPr>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 xml:space="preserve"> фотофиксация и распознавание государственного регистрационного знака транспортного средства;</w:t>
      </w:r>
    </w:p>
    <w:p>
      <w:pPr>
        <w:pStyle w:val="Style20"/>
        <w:numPr>
          <w:ilvl w:val="0"/>
          <w:numId w:val="5"/>
        </w:numPr>
        <w:widowControl w:val="0"/>
        <w:keepNext w:val="0"/>
        <w:keepLines w:val="0"/>
        <w:shd w:val="clear" w:color="auto" w:fill="auto"/>
        <w:bidi w:val="0"/>
        <w:spacing w:before="0" w:after="0"/>
        <w:ind w:left="20" w:right="0" w:firstLine="400"/>
      </w:pPr>
      <w:r>
        <w:rPr>
          <w:lang w:val="ru-RU" w:eastAsia="ru-RU" w:bidi="ru-RU"/>
          <w:w w:val="100"/>
          <w:spacing w:val="0"/>
          <w:color w:val="000000"/>
          <w:position w:val="0"/>
        </w:rPr>
        <w:t xml:space="preserve"> фотофиксация фронтального изображения транспортного средства;</w:t>
      </w:r>
    </w:p>
    <w:p>
      <w:pPr>
        <w:pStyle w:val="Style20"/>
        <w:numPr>
          <w:ilvl w:val="0"/>
          <w:numId w:val="5"/>
        </w:numPr>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 xml:space="preserve"> фотофиксация общего вида транспортного средства (вид сбоку) в момент проезда через весоизмерительные датчики (получение обзорной фотографии транспортного средства, на которой отражены его контуры и количество осей);</w:t>
      </w:r>
    </w:p>
    <w:p>
      <w:pPr>
        <w:pStyle w:val="Style20"/>
        <w:numPr>
          <w:ilvl w:val="0"/>
          <w:numId w:val="5"/>
        </w:numPr>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 xml:space="preserve"> измерение и передача в ЦОД зафиксированных параметров транспортных средств посредством канала связи, обеспечивающего криптографическую защиту передаваемой информации.</w:t>
      </w:r>
    </w:p>
    <w:p>
      <w:pPr>
        <w:pStyle w:val="Style20"/>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В элементах весогабаритного контроля, подвергающихся воздействию факторов внешней среды, применяться только химически стойкие материалы и химически стойкие защитные покрытия.»,</w:t>
      </w:r>
    </w:p>
    <w:p>
      <w:pPr>
        <w:pStyle w:val="Style20"/>
        <w:widowControl w:val="0"/>
        <w:keepNext w:val="0"/>
        <w:keepLines w:val="0"/>
        <w:shd w:val="clear" w:color="auto" w:fill="auto"/>
        <w:bidi w:val="0"/>
        <w:spacing w:before="0" w:after="0"/>
        <w:ind w:left="20" w:right="20" w:firstLine="400"/>
      </w:pPr>
      <w:r>
        <w:rPr>
          <w:lang w:val="ru-RU" w:eastAsia="ru-RU" w:bidi="ru-RU"/>
          <w:w w:val="100"/>
          <w:spacing w:val="0"/>
          <w:color w:val="000000"/>
          <w:position w:val="0"/>
        </w:rPr>
        <w:t>«Необходимо предусмотреть устройство барьерного ограждения проезжей части автодороги для защиты дорожных конструкций, и предотвращения объезда весоизмерительных модулей весогабаритного контроля по обочине.</w:t>
      </w:r>
    </w:p>
    <w:p>
      <w:pPr>
        <w:pStyle w:val="Style20"/>
        <w:widowControl w:val="0"/>
        <w:keepNext w:val="0"/>
        <w:keepLines w:val="0"/>
        <w:shd w:val="clear" w:color="auto" w:fill="auto"/>
        <w:bidi w:val="0"/>
        <w:jc w:val="left"/>
        <w:spacing w:before="0" w:after="0"/>
        <w:ind w:left="40" w:right="20" w:firstLine="420"/>
      </w:pPr>
      <w:r>
        <w:rPr>
          <w:lang w:val="ru-RU" w:eastAsia="ru-RU" w:bidi="ru-RU"/>
          <w:w w:val="100"/>
          <w:spacing w:val="0"/>
          <w:color w:val="000000"/>
          <w:position w:val="0"/>
        </w:rPr>
        <w:t xml:space="preserve">Опорные конструкции защищены от коррозии методом горячего цинкования или аналогичными по стойкости полимерными покрытиями.»; отсутствует информация о товаре </w:t>
      </w:r>
      <w:r>
        <w:rPr>
          <w:rStyle w:val="CharStyle22"/>
          <w:i/>
          <w:iCs/>
        </w:rPr>
        <w:t>по п. 1.2, 1.3., 1.4;</w:t>
      </w:r>
    </w:p>
    <w:p>
      <w:pPr>
        <w:pStyle w:val="Style20"/>
        <w:tabs>
          <w:tab w:leader="none" w:pos="1594" w:val="left"/>
        </w:tabs>
        <w:widowControl w:val="0"/>
        <w:keepNext w:val="0"/>
        <w:keepLines w:val="0"/>
        <w:shd w:val="clear" w:color="auto" w:fill="auto"/>
        <w:bidi w:val="0"/>
        <w:spacing w:before="0" w:after="0"/>
        <w:ind w:left="40" w:right="0" w:firstLine="420"/>
      </w:pPr>
      <w:r>
        <w:rPr>
          <w:rStyle w:val="CharStyle22"/>
          <w:i/>
          <w:iCs/>
        </w:rPr>
        <w:t>по п.</w:t>
        <w:tab/>
        <w:t xml:space="preserve">2 </w:t>
      </w:r>
      <w:r>
        <w:rPr>
          <w:lang w:val="ru-RU" w:eastAsia="ru-RU" w:bidi="ru-RU"/>
          <w:w w:val="100"/>
          <w:spacing w:val="0"/>
          <w:color w:val="000000"/>
          <w:position w:val="0"/>
        </w:rPr>
        <w:t>отсутствует следующая информация «Специализированные средства</w:t>
      </w:r>
    </w:p>
    <w:p>
      <w:pPr>
        <w:pStyle w:val="Style20"/>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фотовидеофиксации определяют и осуществляют фото-видеофиксацию ТС при выезде на полосу, предназначенную для встречного двиэюения, при проезде ТС между полосами и при перестроении, а также при движении ТС по обочинам. Они также измеряют скорость движения ТС, движущихся в зоне контроля передним и задним ходом, в направлении приближения и удаления от элементов весогабаритного контроля, а также осуществляют фото</w:t>
        <w:softHyphen/>
        <w:t>видеофиксацию превышения скоростного режима, установленного для данного участка дороги. Специализированные средства фотовидеофиксации соответствуют требованиям ГОСТ Р 57144-2016.»,</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«Оборудование фотовидеофиксации обеспечивает фотофиксацию ТС, ГРЗ в момент прохождения зоны весогабаритного контроля. По фотографиям ГРЗ элементов весогабаритного контроля осуществляется распознавание зафиксированного ГРЗ ТС.</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Оборудование фотовидеофиксации обеспечивает однозначное определение местоположения ГРЗ на передней части ТС и полное распознавание комбинации цифр и букв ГРЗ независимо от государственной принадлежности ТС.</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 xml:space="preserve">Оборудование осуществляет автоматическую фиксацию ТС и ГРЗ по всей ширине измерительного участка элементов весогабаритного контроля. ГРЗ ТС распознаваться, в том числе в ночное время суток. Каждая камера распознавания ГРЗ фиксирует и распознает государственные регистрационные знаки ТС вне зависимости от направления двиэюения ТС, таким образом каждая камера распознавания ТС регистрирует передний ГРЗ ТС, при двиэюении ТС в зоне распознавания в двух направлениях («от» и «на» камеру).»; </w:t>
      </w:r>
      <w:r>
        <w:rPr>
          <w:rStyle w:val="CharStyle22"/>
          <w:i/>
          <w:iCs/>
        </w:rPr>
        <w:t>по п. 3</w:t>
      </w:r>
      <w:r>
        <w:rPr>
          <w:rStyle w:val="CharStyle24"/>
          <w:i w:val="0"/>
          <w:iCs w:val="0"/>
        </w:rPr>
        <w:t xml:space="preserve"> </w:t>
      </w:r>
      <w:r>
        <w:rPr>
          <w:rStyle w:val="CharStyle23"/>
          <w:i w:val="0"/>
          <w:iCs w:val="0"/>
        </w:rPr>
        <w:t xml:space="preserve">- </w:t>
      </w:r>
      <w:r>
        <w:rPr>
          <w:lang w:val="ru-RU" w:eastAsia="ru-RU" w:bidi="ru-RU"/>
          <w:w w:val="100"/>
          <w:spacing w:val="0"/>
          <w:color w:val="000000"/>
          <w:position w:val="0"/>
        </w:rPr>
        <w:t>«Видеокамеры обзорной фотовидеофиксации:</w:t>
      </w:r>
    </w:p>
    <w:p>
      <w:pPr>
        <w:pStyle w:val="Style20"/>
        <w:widowControl w:val="0"/>
        <w:keepNext w:val="0"/>
        <w:keepLines w:val="0"/>
        <w:shd w:val="clear" w:color="auto" w:fill="auto"/>
        <w:bidi w:val="0"/>
        <w:jc w:val="left"/>
        <w:spacing w:before="0" w:after="0"/>
        <w:ind w:left="40" w:right="20" w:firstLine="420"/>
      </w:pPr>
      <w:r>
        <w:rPr>
          <w:lang w:val="ru-RU" w:eastAsia="ru-RU" w:bidi="ru-RU"/>
          <w:w w:val="100"/>
          <w:spacing w:val="0"/>
          <w:color w:val="000000"/>
          <w:position w:val="0"/>
        </w:rPr>
        <w:t>Обеспечивают фиксацию полноразмерного ТС в зоне весового и габаритного контроля; Обеспечивают фотофиксация обгцего вида ТС (вид сбоку) в момент проезда через весоизмерительные датчики (получение обзорной фотографии ТС, на которой отчетливо видны контуры ТС, количество осей);</w:t>
      </w:r>
    </w:p>
    <w:p>
      <w:pPr>
        <w:pStyle w:val="Style20"/>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Обеспечивает запись видеоролика проезда ТС.</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В качестве дополнительного источника освещения объекта съемки в темное время суток применяться ИК-прожектор.»,</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«Каждый комплект комплексов фотовидеофиксации укомплектован монтажным комплектом, в количестве и объеме согласно технической документации производителя.</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Видеокамеры обзорной фотовидеофиксации обеспечивают фиксацию полноразмерного транспортного средства в зоне весогабаритного контроля.»;</w:t>
      </w:r>
    </w:p>
    <w:p>
      <w:pPr>
        <w:pStyle w:val="Style20"/>
        <w:widowControl w:val="0"/>
        <w:keepNext w:val="0"/>
        <w:keepLines w:val="0"/>
        <w:shd w:val="clear" w:color="auto" w:fill="auto"/>
        <w:bidi w:val="0"/>
        <w:spacing w:before="0" w:after="0"/>
        <w:ind w:left="40" w:right="20" w:firstLine="420"/>
      </w:pPr>
      <w:r>
        <w:rPr>
          <w:rStyle w:val="CharStyle22"/>
          <w:i/>
          <w:iCs/>
        </w:rPr>
        <w:t xml:space="preserve">по п. 4 </w:t>
      </w:r>
      <w:r>
        <w:rPr>
          <w:lang w:val="ru-RU" w:eastAsia="ru-RU" w:bidi="ru-RU"/>
          <w:w w:val="100"/>
          <w:spacing w:val="0"/>
          <w:color w:val="000000"/>
          <w:position w:val="0"/>
        </w:rPr>
        <w:t>- «По каждому зафиксированному проезду ТС контроллер обеспечивает сбор, обработку, сохранение и передачу данных в Систему верхнего уровня следующей информации (пакетов данных):</w:t>
      </w:r>
    </w:p>
    <w:p>
      <w:pPr>
        <w:pStyle w:val="Style20"/>
        <w:widowControl w:val="0"/>
        <w:keepNext w:val="0"/>
        <w:keepLines w:val="0"/>
        <w:shd w:val="clear" w:color="auto" w:fill="auto"/>
        <w:bidi w:val="0"/>
        <w:jc w:val="left"/>
        <w:spacing w:before="0" w:after="0"/>
        <w:ind w:left="40" w:right="20" w:firstLine="420"/>
      </w:pPr>
      <w:r>
        <w:rPr>
          <w:lang w:val="ru-RU" w:eastAsia="ru-RU" w:bidi="ru-RU"/>
          <w:w w:val="100"/>
          <w:spacing w:val="0"/>
          <w:color w:val="000000"/>
          <w:position w:val="0"/>
        </w:rPr>
        <w:t>об измерительном оборудовании: наименование, код, серийный номер, свидетельство об утверждении типа средства измерения (номер, срок действия, регистрационный номер), свидетельство о поверке оборудования (номер, дата, срок действия поверки), контрольная сумма о месте фиксации (км+м, географические координаты); о наименовании автомобильной дороги;</w:t>
      </w:r>
    </w:p>
    <w:p>
      <w:pPr>
        <w:pStyle w:val="Style20"/>
        <w:tabs>
          <w:tab w:leader="none" w:pos="2249" w:val="left"/>
        </w:tabs>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о нарушении:</w:t>
        <w:tab/>
        <w:t>дата и время нарушения, направление движения, государственный</w:t>
      </w:r>
    </w:p>
    <w:p>
      <w:pPr>
        <w:pStyle w:val="Style20"/>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регистрационный знак транспортного средства, категория транспортного средства , количество осей транспортного средства, превышение нагрузки по осям, превышение по полной массе, превышение по ширине, превышение по высоте, превышение по длине, параметры осей транспортного средства (номер оси, фактическая нагрузка на ось, суммарная фактическая нагрузка на сближенные оси, нормативная нагрузка на ось при фактическом межосевом расстоянии, превышение (если установлено, кг), фактическое межосевое расстояние, фактическая скатность (количество колес) оси), параметры общей массы транспортного средства (фактическая, нормативная, кг), параметры ширины транспортного средства (фактическая, нормативная, превышение (если установлено, см), параметры высоты транспортного средства (фактическая, нормативная, превышение (если установлено, см), параметры длины транспортного средства (фактическая, нормативная, превышение (если установлено, см).</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При невозможности передачи данных в Систему верхнего уровня в текущий момент, контроллер аккумулирует полученные данные и передает их при восстановлении связи с ними.</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Контроллер встроенными средствами обеспечивает настройку, калибровку и диагностику работы весогабаритного контроля, включая диагностику работоспособности технических средств.</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Конструкция контроллера обеспечивает его высокую мулътимодальность и ремонтопригодность - восстановление работоспособности обеспечивается заменой отдельных преобразователей и модулей компьютера без необходимости замены всего блока целиком. Контроллер размещается в вандалозащищенном и влагозащищенном шкафу элементов весогабаритного контроля. Шкаф с контроллером элементов весогабаритного контроля оснащается коммутаг{ионным, телекоммуникационным оборудованием и блоком бесперебойного питания.</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Конструкция шкафа обеспечивает возможность его размещения на земле (с применением бетонного основания), или непосредственно на опоре на недоступной без специальных средств высоте.»;</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по п. 6 - «Под автономной дорожной метеостанцией понимается совокупность стационарно установленного оборудования и программных средств (СПО), которые обеспечивают измерение и определение погодных и дорожных условий, расчет параметров, а также определяют динамику изменения неблагоприятных погодных условий.</w:t>
      </w:r>
    </w:p>
    <w:p>
      <w:pPr>
        <w:pStyle w:val="Style20"/>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Автономная дорожная метеостанция предназначена для решения следующих задач:</w:t>
      </w:r>
    </w:p>
    <w:p>
      <w:pPr>
        <w:pStyle w:val="Style20"/>
        <w:numPr>
          <w:ilvl w:val="0"/>
          <w:numId w:val="5"/>
        </w:numPr>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 xml:space="preserve"> Измерение и расчет параметров и динамики изменения погодных условий в атмосфере и на поверхности дорожного покрытия;</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Формирование прогнозов образования гололедных явлений, снежных заносов;</w:t>
      </w:r>
    </w:p>
    <w:p>
      <w:pPr>
        <w:pStyle w:val="Style20"/>
        <w:numPr>
          <w:ilvl w:val="0"/>
          <w:numId w:val="5"/>
        </w:numPr>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 xml:space="preserve"> Возмоэюностъ оперативного реагирования на изменение условий и параметров погодных условий и параметров поверхности дорожного покрытия;</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Выдача краткосрочных прогнозов по состоянию дорожного покрытия;</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Увеличение срока службы дорожного покрытия и искусственных сооружений;</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Повышение уровня безопасности дорожного движения.</w:t>
      </w:r>
    </w:p>
    <w:p>
      <w:pPr>
        <w:pStyle w:val="Style20"/>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Автономная дорожная метеостанция обеспечивает выполнение следующих функций:</w:t>
      </w:r>
    </w:p>
    <w:p>
      <w:pPr>
        <w:pStyle w:val="Style20"/>
        <w:numPr>
          <w:ilvl w:val="0"/>
          <w:numId w:val="5"/>
        </w:numPr>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 xml:space="preserve"> Формирование параметров, достаточных для реализации задач автономной дорожной метеостанции;», «Передача данных через собственные каналы связи или через каналы связи элементов весогабаритного контроля;</w:t>
      </w:r>
    </w:p>
    <w:p>
      <w:pPr>
        <w:pStyle w:val="Style20"/>
        <w:numPr>
          <w:ilvl w:val="0"/>
          <w:numId w:val="5"/>
        </w:numPr>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 xml:space="preserve"> Дистанционный доступ для оценки работоспособности и конфигурирования объектов и оборудования;</w:t>
      </w:r>
    </w:p>
    <w:p>
      <w:pPr>
        <w:pStyle w:val="Style20"/>
        <w:numPr>
          <w:ilvl w:val="0"/>
          <w:numId w:val="5"/>
        </w:numPr>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 xml:space="preserve"> Исключение влияния проходящего мимо автомобильного транспорта и иных внешних воздействий на показания датчиков;</w:t>
      </w:r>
    </w:p>
    <w:p>
      <w:pPr>
        <w:pStyle w:val="Style20"/>
        <w:numPr>
          <w:ilvl w:val="0"/>
          <w:numId w:val="5"/>
        </w:numPr>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 xml:space="preserve"> Круглогодичное соответствие метрологических параметров Комплекса предъявляемым требованиям в межповерочный период времени.</w:t>
      </w:r>
    </w:p>
    <w:p>
      <w:pPr>
        <w:pStyle w:val="Style20"/>
        <w:widowControl w:val="0"/>
        <w:keepNext w:val="0"/>
        <w:keepLines w:val="0"/>
        <w:shd w:val="clear" w:color="auto" w:fill="auto"/>
        <w:bidi w:val="0"/>
        <w:spacing w:before="0" w:after="0"/>
        <w:ind w:left="40" w:right="20" w:firstLine="420"/>
      </w:pPr>
      <w:r>
        <w:rPr>
          <w:lang w:val="ru-RU" w:eastAsia="ru-RU" w:bidi="ru-RU"/>
          <w:w w:val="100"/>
          <w:spacing w:val="0"/>
          <w:color w:val="000000"/>
          <w:position w:val="0"/>
        </w:rPr>
        <w:t>Стационарно установленное оборудование предназначено для измерения в автоматическом режиме следующих параметров:</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Температура воздуха;</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Относительная влажность воздуха;</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Наличие осадков;</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Интенсивность осадков;</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Вид осадков;</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Атмосферное давление;</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Скорость ветра;</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Направление ветра;</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Температура поверхности покрытия дороги;</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Температура дороги на глубине 40-70 мм;</w:t>
      </w:r>
    </w:p>
    <w:p>
      <w:pPr>
        <w:pStyle w:val="Style20"/>
        <w:numPr>
          <w:ilvl w:val="0"/>
          <w:numId w:val="5"/>
        </w:numPr>
        <w:widowControl w:val="0"/>
        <w:keepNext w:val="0"/>
        <w:keepLines w:val="0"/>
        <w:shd w:val="clear" w:color="auto" w:fill="auto"/>
        <w:bidi w:val="0"/>
        <w:spacing w:before="0" w:after="0"/>
        <w:ind w:left="40" w:right="0" w:firstLine="420"/>
      </w:pPr>
      <w:r>
        <w:rPr>
          <w:lang w:val="ru-RU" w:eastAsia="ru-RU" w:bidi="ru-RU"/>
          <w:w w:val="100"/>
          <w:spacing w:val="0"/>
          <w:color w:val="000000"/>
          <w:position w:val="0"/>
        </w:rPr>
        <w:t xml:space="preserve"> Состояние поверхности дорожного покрытия;</w:t>
      </w:r>
    </w:p>
    <w:p>
      <w:pPr>
        <w:pStyle w:val="Style20"/>
        <w:numPr>
          <w:ilvl w:val="0"/>
          <w:numId w:val="5"/>
        </w:numPr>
        <w:widowControl w:val="0"/>
        <w:keepNext w:val="0"/>
        <w:keepLines w:val="0"/>
        <w:shd w:val="clear" w:color="auto" w:fill="auto"/>
        <w:bidi w:val="0"/>
        <w:spacing w:before="0" w:after="0"/>
        <w:ind w:left="20" w:right="0" w:firstLine="400"/>
      </w:pPr>
      <w:r>
        <w:rPr>
          <w:rStyle w:val="CharStyle23"/>
          <w:i w:val="0"/>
          <w:iCs w:val="0"/>
        </w:rPr>
        <w:t xml:space="preserve"> </w:t>
      </w:r>
      <w:r>
        <w:rPr>
          <w:lang w:val="ru-RU" w:eastAsia="ru-RU" w:bidi="ru-RU"/>
          <w:w w:val="100"/>
          <w:spacing w:val="0"/>
          <w:color w:val="000000"/>
          <w:position w:val="0"/>
        </w:rPr>
        <w:t>Толщина слоя воды на поверхности дорожного покрытия;</w:t>
      </w:r>
    </w:p>
    <w:p>
      <w:pPr>
        <w:pStyle w:val="Style20"/>
        <w:numPr>
          <w:ilvl w:val="0"/>
          <w:numId w:val="5"/>
        </w:numPr>
        <w:widowControl w:val="0"/>
        <w:keepNext w:val="0"/>
        <w:keepLines w:val="0"/>
        <w:shd w:val="clear" w:color="auto" w:fill="auto"/>
        <w:bidi w:val="0"/>
        <w:spacing w:before="0" w:after="0"/>
        <w:ind w:left="20" w:right="0" w:firstLine="400"/>
      </w:pPr>
      <w:r>
        <w:rPr>
          <w:lang w:val="ru-RU" w:eastAsia="ru-RU" w:bidi="ru-RU"/>
          <w:w w:val="100"/>
          <w:spacing w:val="0"/>
          <w:color w:val="000000"/>
          <w:position w:val="0"/>
        </w:rPr>
        <w:t xml:space="preserve"> Концентрация ПГМна поверхности дороэ/сного покрытия.»;</w:t>
      </w:r>
    </w:p>
    <w:p>
      <w:pPr>
        <w:pStyle w:val="Style20"/>
        <w:widowControl w:val="0"/>
        <w:keepNext w:val="0"/>
        <w:keepLines w:val="0"/>
        <w:shd w:val="clear" w:color="auto" w:fill="auto"/>
        <w:bidi w:val="0"/>
        <w:spacing w:before="0" w:after="0"/>
        <w:ind w:left="20" w:right="40" w:firstLine="400"/>
      </w:pPr>
      <w:r>
        <w:rPr>
          <w:rStyle w:val="CharStyle22"/>
          <w:i/>
          <w:iCs/>
        </w:rPr>
        <w:t xml:space="preserve">по п. 7 </w:t>
      </w:r>
      <w:r>
        <w:rPr>
          <w:lang w:val="ru-RU" w:eastAsia="ru-RU" w:bidi="ru-RU"/>
          <w:w w:val="100"/>
          <w:spacing w:val="0"/>
          <w:color w:val="000000"/>
          <w:position w:val="0"/>
        </w:rPr>
        <w:t>- «Сеть передачи данных масштабируется и обеспечивает передачу всего объема трафика со всего периферийного оборудования в близком к реальному масштабу времени.</w:t>
      </w:r>
    </w:p>
    <w:p>
      <w:pPr>
        <w:pStyle w:val="Style20"/>
        <w:widowControl w:val="0"/>
        <w:keepNext w:val="0"/>
        <w:keepLines w:val="0"/>
        <w:shd w:val="clear" w:color="auto" w:fill="auto"/>
        <w:bidi w:val="0"/>
        <w:spacing w:before="0" w:after="0"/>
        <w:ind w:left="20" w:right="40" w:firstLine="400"/>
      </w:pPr>
      <w:r>
        <w:rPr>
          <w:lang w:val="ru-RU" w:eastAsia="ru-RU" w:bidi="ru-RU"/>
          <w:w w:val="100"/>
          <w:spacing w:val="0"/>
          <w:color w:val="000000"/>
          <w:position w:val="0"/>
        </w:rPr>
        <w:t xml:space="preserve">Арендодатель организует каналы с использованием беспроводных технологий или создает проводные каналы связи на места размещения весогабаритного контроля. В случае использования беспроводных каналов связи, пункты оборудуют модемами для передачи данных </w:t>
      </w:r>
      <w:r>
        <w:rPr>
          <w:lang w:val="en-US" w:eastAsia="en-US" w:bidi="en-US"/>
          <w:w w:val="100"/>
          <w:spacing w:val="0"/>
          <w:color w:val="000000"/>
          <w:position w:val="0"/>
        </w:rPr>
        <w:t xml:space="preserve">3G/4G </w:t>
      </w:r>
      <w:r>
        <w:rPr>
          <w:lang w:val="ru-RU" w:eastAsia="ru-RU" w:bidi="ru-RU"/>
          <w:w w:val="100"/>
          <w:spacing w:val="0"/>
          <w:color w:val="000000"/>
          <w:position w:val="0"/>
        </w:rPr>
        <w:t>стандартов. Модемы снабжаются дополнительными антеннами.</w:t>
      </w:r>
    </w:p>
    <w:p>
      <w:pPr>
        <w:pStyle w:val="Style20"/>
        <w:widowControl w:val="0"/>
        <w:keepNext w:val="0"/>
        <w:keepLines w:val="0"/>
        <w:shd w:val="clear" w:color="auto" w:fill="auto"/>
        <w:bidi w:val="0"/>
        <w:spacing w:before="0" w:after="0"/>
        <w:ind w:left="20" w:right="40" w:firstLine="400"/>
      </w:pPr>
      <w:r>
        <w:rPr>
          <w:lang w:val="ru-RU" w:eastAsia="ru-RU" w:bidi="ru-RU"/>
          <w:w w:val="100"/>
          <w:spacing w:val="0"/>
          <w:color w:val="000000"/>
          <w:position w:val="0"/>
        </w:rPr>
        <w:t>Для организации передачи данных от оборудования весогабаритного контроля в системы верхнего уровня применятся средства электронной подписи (для идентификации пользователей) и криптографической защиты информации (СКЗИ), сертифицированные ФСБ России и ФСТЭК России.</w:t>
      </w:r>
    </w:p>
    <w:p>
      <w:pPr>
        <w:pStyle w:val="Style20"/>
        <w:widowControl w:val="0"/>
        <w:keepNext w:val="0"/>
        <w:keepLines w:val="0"/>
        <w:shd w:val="clear" w:color="auto" w:fill="auto"/>
        <w:bidi w:val="0"/>
        <w:spacing w:before="0" w:after="0"/>
        <w:ind w:left="20" w:right="40" w:firstLine="400"/>
      </w:pPr>
      <w:r>
        <w:rPr>
          <w:lang w:val="ru-RU" w:eastAsia="ru-RU" w:bidi="ru-RU"/>
          <w:w w:val="100"/>
          <w:spacing w:val="0"/>
          <w:color w:val="000000"/>
          <w:position w:val="0"/>
        </w:rPr>
        <w:t>Для возможности вынесения постановлений о совершенных административных нарушениях в области дорожного движения, зафиксированных с помощью комплексов АПК ВТК, Арендодатель:</w:t>
      </w:r>
    </w:p>
    <w:p>
      <w:pPr>
        <w:pStyle w:val="Style20"/>
        <w:numPr>
          <w:ilvl w:val="0"/>
          <w:numId w:val="5"/>
        </w:numPr>
        <w:widowControl w:val="0"/>
        <w:keepNext w:val="0"/>
        <w:keepLines w:val="0"/>
        <w:shd w:val="clear" w:color="auto" w:fill="auto"/>
        <w:bidi w:val="0"/>
        <w:spacing w:before="0" w:after="0"/>
        <w:ind w:left="20" w:right="40" w:firstLine="400"/>
      </w:pPr>
      <w:r>
        <w:rPr>
          <w:lang w:val="ru-RU" w:eastAsia="ru-RU" w:bidi="ru-RU"/>
          <w:w w:val="100"/>
          <w:spacing w:val="0"/>
          <w:color w:val="000000"/>
          <w:position w:val="0"/>
        </w:rPr>
        <w:t xml:space="preserve"> обеспечивает передачу данных с комплексов в существующую защищенную сеть АИС ВГК Забайкальского края №13 957 для интеграции данных фиксируемых комплексами ФВФ в защищенную сеть ЦАФАП ОДД ГИБДД У МВД России по Забайкальскому краю.</w:t>
      </w:r>
    </w:p>
    <w:p>
      <w:pPr>
        <w:pStyle w:val="Style20"/>
        <w:widowControl w:val="0"/>
        <w:keepNext w:val="0"/>
        <w:keepLines w:val="0"/>
        <w:shd w:val="clear" w:color="auto" w:fill="auto"/>
        <w:bidi w:val="0"/>
        <w:spacing w:before="0" w:after="0"/>
        <w:ind w:left="20" w:right="0" w:firstLine="400"/>
      </w:pPr>
      <w:r>
        <w:rPr>
          <w:lang w:val="ru-RU" w:eastAsia="ru-RU" w:bidi="ru-RU"/>
          <w:w w:val="100"/>
          <w:spacing w:val="0"/>
          <w:color w:val="000000"/>
          <w:position w:val="0"/>
        </w:rPr>
        <w:t>До начала выполнения работ Арендодатель:</w:t>
      </w:r>
    </w:p>
    <w:p>
      <w:pPr>
        <w:pStyle w:val="Style20"/>
        <w:numPr>
          <w:ilvl w:val="0"/>
          <w:numId w:val="5"/>
        </w:numPr>
        <w:widowControl w:val="0"/>
        <w:keepNext w:val="0"/>
        <w:keepLines w:val="0"/>
        <w:shd w:val="clear" w:color="auto" w:fill="auto"/>
        <w:bidi w:val="0"/>
        <w:spacing w:before="0" w:after="0"/>
        <w:ind w:left="20" w:right="40" w:firstLine="400"/>
      </w:pPr>
      <w:r>
        <w:rPr>
          <w:lang w:val="ru-RU" w:eastAsia="ru-RU" w:bidi="ru-RU"/>
          <w:w w:val="100"/>
          <w:spacing w:val="0"/>
          <w:color w:val="000000"/>
          <w:position w:val="0"/>
        </w:rPr>
        <w:t xml:space="preserve"> согласовывает схему подключения к защищенной сети с собственниками указанных сетей, а именно ЦАФАП ОДД ГИБДД У МВД России по Забайкальскому краю. Министерством строительства, дорожного хозяйства и транспорта Забайкальского края и ПАО «Ростелеком», подготавливае?п и согласовывает Частное техническое задание на интеграцию защищенных сетей.</w:t>
      </w:r>
    </w:p>
    <w:p>
      <w:pPr>
        <w:pStyle w:val="Style20"/>
        <w:numPr>
          <w:ilvl w:val="0"/>
          <w:numId w:val="5"/>
        </w:numPr>
        <w:widowControl w:val="0"/>
        <w:keepNext w:val="0"/>
        <w:keepLines w:val="0"/>
        <w:shd w:val="clear" w:color="auto" w:fill="auto"/>
        <w:bidi w:val="0"/>
        <w:spacing w:before="0" w:after="0"/>
        <w:ind w:left="20" w:right="40" w:firstLine="400"/>
      </w:pPr>
      <w:r>
        <w:rPr>
          <w:lang w:val="ru-RU" w:eastAsia="ru-RU" w:bidi="ru-RU"/>
          <w:w w:val="100"/>
          <w:spacing w:val="0"/>
          <w:color w:val="000000"/>
          <w:position w:val="0"/>
        </w:rPr>
        <w:t xml:space="preserve"> предусматривает оборудование крипто-шифрования для обеспечения передачи данных в защищенную сеть АИС ВГК Забайкальского края.», что не соответствует требованиям аукционной документации (п. 2 ч. 4 ст. 67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 1 документации о проведении аукциона, извещение о внесении изменений в документацию) (п. 2 ч. 4 ст. 67 Федерального закона от 5 апреля 2013 года № 44-ФЗ «О контрактной системе в сфере закупок товаров, работ, услуг для обеспечения государственных и муниципапъных нужд», п. 1 документации о проведении аукциона, извещение о внесении изменений в документацию)».</w:t>
      </w:r>
    </w:p>
    <w:p>
      <w:pPr>
        <w:pStyle w:val="Style16"/>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К письменным пояснениям приложена таблица со сравнительным анализом требований, установленных документацией о закупке, с положениями заявки участника закупки.</w:t>
      </w:r>
    </w:p>
    <w:p>
      <w:pPr>
        <w:pStyle w:val="Style16"/>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По аналогичным основаниям отклонены заявки остальных участников закупки.</w:t>
      </w:r>
    </w:p>
    <w:p>
      <w:pPr>
        <w:pStyle w:val="Style16"/>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Аукционная комиссия оценивает заявки участников закупки на соответствие требованиям документации. При несогласии с установленными требованиями заинтересованное лицо вправе обратиться за разъяснением положений такой документации.</w:t>
      </w:r>
    </w:p>
    <w:p>
      <w:pPr>
        <w:pStyle w:val="Style16"/>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Представители заказчика и уполномоченного учреждения просят признать жалобу необоснованной.</w:t>
      </w:r>
    </w:p>
    <w:p>
      <w:pPr>
        <w:pStyle w:val="Style5"/>
        <w:widowControl w:val="0"/>
        <w:keepNext w:val="0"/>
        <w:keepLines w:val="0"/>
        <w:shd w:val="clear" w:color="auto" w:fill="auto"/>
        <w:bidi w:val="0"/>
        <w:jc w:val="both"/>
        <w:spacing w:before="0" w:after="0" w:line="274" w:lineRule="exact"/>
        <w:ind w:left="20" w:right="40" w:firstLine="700"/>
      </w:pPr>
      <w:r>
        <w:rPr>
          <w:lang w:val="ru-RU" w:eastAsia="ru-RU" w:bidi="ru-RU"/>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 08912000006200011705. В ходе проверки установлено следующее.</w:t>
      </w:r>
    </w:p>
    <w:p>
      <w:pPr>
        <w:pStyle w:val="Style16"/>
        <w:numPr>
          <w:ilvl w:val="0"/>
          <w:numId w:val="7"/>
        </w:numPr>
        <w:tabs>
          <w:tab w:leader="none" w:pos="1950" w:val="left"/>
        </w:tabs>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уполномоченным учреждением ГКУ «Забайкальский центр государственных закупок» для нужд заказчика на официальном сайте ЕИС размещены извещение и документация о проведении электронного аукциона на оказание услуг аренды автоматизированной системы весогабаритного контроля, включающей в себя оборудование автоматических пунктов весогабаритного контроля на автомобильных дорогах регионального или межмуниципального значения Забайкальского края (реестровый № 08912000006200011705).</w:t>
      </w:r>
    </w:p>
    <w:p>
      <w:pPr>
        <w:pStyle w:val="Style16"/>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Начальная (максимальная) цена контракта составляет 129466666.00 рублей.</w:t>
      </w:r>
    </w:p>
    <w:p>
      <w:pPr>
        <w:pStyle w:val="Style16"/>
        <w:widowControl w:val="0"/>
        <w:keepNext w:val="0"/>
        <w:keepLines w:val="0"/>
        <w:shd w:val="clear" w:color="auto" w:fill="auto"/>
        <w:bidi w:val="0"/>
        <w:spacing w:before="0" w:after="0" w:line="274" w:lineRule="exact"/>
        <w:ind w:left="20" w:right="40" w:firstLine="700"/>
      </w:pPr>
      <w:r>
        <w:rPr>
          <w:lang w:val="ru-RU" w:eastAsia="ru-RU" w:bidi="ru-RU"/>
          <w:w w:val="100"/>
          <w:spacing w:val="0"/>
          <w:color w:val="000000"/>
          <w:position w:val="0"/>
        </w:rPr>
        <w:t>В соответствии с Протоколом №12140-ЭА рассмотрения заявок от 08.12.2020 на участие в аукционе подано три заявки, все три заявки аукционной комиссией не допущены к участию в аукционе, ввиду не соответствия требованиям аукционной документации. В соответствии с частью 8 статьи 67 Закона о контрактной системе электронный аукцион признан несостоявшимся. Основания отклонения заявок изложены в Приложении к Протоколу №12140-ЭА от 08.12.2020.</w:t>
      </w:r>
    </w:p>
    <w:p>
      <w:pPr>
        <w:pStyle w:val="Style16"/>
        <w:widowControl w:val="0"/>
        <w:keepNext w:val="0"/>
        <w:keepLines w:val="0"/>
        <w:shd w:val="clear" w:color="auto" w:fill="auto"/>
        <w:bidi w:val="0"/>
        <w:spacing w:before="0" w:after="0" w:line="274" w:lineRule="exact"/>
        <w:ind w:left="40" w:right="20" w:firstLine="740"/>
      </w:pPr>
      <w:r>
        <w:rPr>
          <w:lang w:val="ru-RU" w:eastAsia="ru-RU" w:bidi="ru-RU"/>
          <w:w w:val="100"/>
          <w:spacing w:val="0"/>
          <w:color w:val="000000"/>
          <w:position w:val="0"/>
        </w:rPr>
        <w:t>На момент рассмотрения жалобы аукцион признан несостоявшимся, победитель не определен, контракт не заключен.</w:t>
      </w:r>
    </w:p>
    <w:p>
      <w:pPr>
        <w:pStyle w:val="Style16"/>
        <w:widowControl w:val="0"/>
        <w:keepNext w:val="0"/>
        <w:keepLines w:val="0"/>
        <w:shd w:val="clear" w:color="auto" w:fill="auto"/>
        <w:bidi w:val="0"/>
        <w:jc w:val="left"/>
        <w:spacing w:before="0" w:after="0" w:line="274" w:lineRule="exact"/>
        <w:ind w:left="40" w:right="20" w:firstLine="740"/>
      </w:pPr>
      <w:r>
        <w:rPr>
          <w:rStyle w:val="CharStyle19"/>
        </w:rPr>
        <w:t xml:space="preserve">Рассмотрев представленные документы, комиссия приходит к следующим выводам. </w:t>
      </w:r>
      <w:r>
        <w:rPr>
          <w:lang w:val="ru-RU" w:eastAsia="ru-RU" w:bidi="ru-RU"/>
          <w:w w:val="100"/>
          <w:spacing w:val="0"/>
          <w:color w:val="000000"/>
          <w:position w:val="0"/>
        </w:rPr>
        <w:t>Жалоба заявителя о неправомерном отклонении заявки признана Комиссией необоснованной по следующим основаниям.</w:t>
      </w:r>
    </w:p>
    <w:p>
      <w:pPr>
        <w:pStyle w:val="Style16"/>
        <w:widowControl w:val="0"/>
        <w:keepNext w:val="0"/>
        <w:keepLines w:val="0"/>
        <w:shd w:val="clear" w:color="auto" w:fill="auto"/>
        <w:bidi w:val="0"/>
        <w:spacing w:before="0" w:after="0" w:line="274" w:lineRule="exact"/>
        <w:ind w:left="40" w:right="20" w:firstLine="740"/>
      </w:pPr>
      <w:r>
        <w:rPr>
          <w:lang w:val="ru-RU" w:eastAsia="ru-RU" w:bidi="ru-RU"/>
          <w:w w:val="100"/>
          <w:spacing w:val="0"/>
          <w:color w:val="000000"/>
          <w:position w:val="0"/>
        </w:rPr>
        <w:t>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на соответствие требованиям, установленным документацией о таком аукционе в отношении закупаемых товаров, работ, услуг.</w:t>
      </w:r>
    </w:p>
    <w:p>
      <w:pPr>
        <w:pStyle w:val="Style16"/>
        <w:widowControl w:val="0"/>
        <w:keepNext w:val="0"/>
        <w:keepLines w:val="0"/>
        <w:shd w:val="clear" w:color="auto" w:fill="auto"/>
        <w:bidi w:val="0"/>
        <w:spacing w:before="0" w:after="0" w:line="274" w:lineRule="exact"/>
        <w:ind w:left="40" w:right="20" w:firstLine="740"/>
      </w:pPr>
      <w:r>
        <w:rPr>
          <w:lang w:val="ru-RU" w:eastAsia="ru-RU" w:bidi="ru-RU"/>
          <w:w w:val="100"/>
          <w:spacing w:val="0"/>
          <w:color w:val="000000"/>
          <w:position w:val="0"/>
        </w:rPr>
        <w:t>Согласно пункту 2 части 3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аукционе должна содержать:</w:t>
      </w:r>
    </w:p>
    <w:p>
      <w:pPr>
        <w:pStyle w:val="Style16"/>
        <w:widowControl w:val="0"/>
        <w:keepNext w:val="0"/>
        <w:keepLines w:val="0"/>
        <w:shd w:val="clear" w:color="auto" w:fill="auto"/>
        <w:bidi w:val="0"/>
        <w:spacing w:before="0" w:after="0" w:line="274" w:lineRule="exact"/>
        <w:ind w:left="40" w:right="0" w:firstLine="740"/>
      </w:pPr>
      <w:r>
        <w:rPr>
          <w:lang w:val="ru-RU" w:eastAsia="ru-RU" w:bidi="ru-RU"/>
          <w:w w:val="100"/>
          <w:spacing w:val="0"/>
          <w:color w:val="000000"/>
          <w:position w:val="0"/>
        </w:rPr>
        <w:t>а) наименование страны происхождения товара;</w:t>
      </w:r>
    </w:p>
    <w:p>
      <w:pPr>
        <w:pStyle w:val="Style16"/>
        <w:widowControl w:val="0"/>
        <w:keepNext w:val="0"/>
        <w:keepLines w:val="0"/>
        <w:shd w:val="clear" w:color="auto" w:fill="auto"/>
        <w:bidi w:val="0"/>
        <w:spacing w:before="0" w:after="0" w:line="274" w:lineRule="exact"/>
        <w:ind w:left="40" w:right="20" w:firstLine="74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6"/>
        <w:widowControl w:val="0"/>
        <w:keepNext w:val="0"/>
        <w:keepLines w:val="0"/>
        <w:shd w:val="clear" w:color="auto" w:fill="auto"/>
        <w:bidi w:val="0"/>
        <w:spacing w:before="0" w:after="0" w:line="274" w:lineRule="exact"/>
        <w:ind w:left="40" w:right="0" w:firstLine="740"/>
      </w:pPr>
      <w:r>
        <w:rPr>
          <w:lang w:val="ru-RU" w:eastAsia="ru-RU" w:bidi="ru-RU"/>
          <w:w w:val="100"/>
          <w:spacing w:val="0"/>
          <w:color w:val="000000"/>
          <w:position w:val="0"/>
        </w:rPr>
        <w:t>Данная норма отражена в пункте 1 аукционной документации.</w:t>
      </w:r>
    </w:p>
    <w:p>
      <w:pPr>
        <w:pStyle w:val="Style16"/>
        <w:widowControl w:val="0"/>
        <w:keepNext w:val="0"/>
        <w:keepLines w:val="0"/>
        <w:shd w:val="clear" w:color="auto" w:fill="auto"/>
        <w:bidi w:val="0"/>
        <w:spacing w:before="0" w:after="0" w:line="274" w:lineRule="exact"/>
        <w:ind w:left="40" w:right="0" w:firstLine="740"/>
      </w:pPr>
      <w:r>
        <w:rPr>
          <w:lang w:val="ru-RU" w:eastAsia="ru-RU" w:bidi="ru-RU"/>
          <w:w w:val="100"/>
          <w:spacing w:val="0"/>
          <w:color w:val="000000"/>
          <w:position w:val="0"/>
        </w:rPr>
        <w:t>Требования к товару установлены в разделе 21 документации.</w:t>
      </w:r>
    </w:p>
    <w:p>
      <w:pPr>
        <w:pStyle w:val="Style16"/>
        <w:widowControl w:val="0"/>
        <w:keepNext w:val="0"/>
        <w:keepLines w:val="0"/>
        <w:shd w:val="clear" w:color="auto" w:fill="auto"/>
        <w:bidi w:val="0"/>
        <w:spacing w:before="0" w:after="0" w:line="274" w:lineRule="exact"/>
        <w:ind w:left="40" w:right="20" w:firstLine="740"/>
      </w:pPr>
      <w:r>
        <w:rPr>
          <w:lang w:val="ru-RU" w:eastAsia="ru-RU" w:bidi="ru-RU"/>
          <w:w w:val="100"/>
          <w:spacing w:val="0"/>
          <w:color w:val="000000"/>
          <w:position w:val="0"/>
        </w:rPr>
        <w:t>Таким образом, исходя из описания объекта закупки, участнику необходимо указать в заявке и поставить товар, соответствующий установленным требованиям, в том числе описанным в пункте 7 «Требование к оборудованию передачи данных и коммутации канала связи, включая комплекс защиты информации».</w:t>
      </w:r>
    </w:p>
    <w:p>
      <w:pPr>
        <w:pStyle w:val="Style16"/>
        <w:widowControl w:val="0"/>
        <w:keepNext w:val="0"/>
        <w:keepLines w:val="0"/>
        <w:shd w:val="clear" w:color="auto" w:fill="auto"/>
        <w:bidi w:val="0"/>
        <w:spacing w:before="0" w:after="0" w:line="274" w:lineRule="exact"/>
        <w:ind w:left="40" w:right="20" w:firstLine="740"/>
      </w:pPr>
      <w:r>
        <w:rPr>
          <w:lang w:val="ru-RU" w:eastAsia="ru-RU" w:bidi="ru-RU"/>
          <w:w w:val="100"/>
          <w:spacing w:val="0"/>
          <w:color w:val="000000"/>
          <w:position w:val="0"/>
        </w:rPr>
        <w:t>Комиссией установлено, что в составе первой части заявки ООО «Русробот» по указанной позиции предложено:</w:t>
      </w:r>
    </w:p>
    <w:p>
      <w:pPr>
        <w:pStyle w:val="Style25"/>
        <w:widowControl w:val="0"/>
        <w:keepNext w:val="0"/>
        <w:keepLines w:val="0"/>
        <w:shd w:val="clear" w:color="auto" w:fill="auto"/>
        <w:bidi w:val="0"/>
        <w:spacing w:before="0" w:after="0"/>
        <w:ind w:left="40" w:right="20" w:firstLine="740"/>
      </w:pPr>
      <w:r>
        <w:rPr>
          <w:lang w:val="ru-RU" w:eastAsia="ru-RU" w:bidi="ru-RU"/>
          <w:w w:val="100"/>
          <w:spacing w:val="0"/>
          <w:color w:val="000000"/>
          <w:position w:val="0"/>
        </w:rPr>
        <w:t>«Оборудование передачи данных и коммутации канапа связи, включая комплекс защиты информации. Страна происхождения Российская Федерация, товарный знак отсутствует.</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Пропускная способность канапа связи от элементов весогабаритного контроля к ЦОД-20 Мбит/сек.</w:t>
      </w:r>
    </w:p>
    <w:p>
      <w:pPr>
        <w:pStyle w:val="Style25"/>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 xml:space="preserve">Для обеспечения передачи данных в защищенную сеть АИС ВГК Забайкальского края используются программно-аппаратные комплексы </w:t>
      </w:r>
      <w:r>
        <w:rPr>
          <w:lang w:val="en-US" w:eastAsia="en-US" w:bidi="en-US"/>
          <w:w w:val="100"/>
          <w:spacing w:val="0"/>
          <w:color w:val="000000"/>
          <w:position w:val="0"/>
        </w:rPr>
        <w:t xml:space="preserve">VipNet Coordinator HW100C </w:t>
      </w:r>
      <w:r>
        <w:rPr>
          <w:lang w:val="ru-RU" w:eastAsia="ru-RU" w:bidi="ru-RU"/>
          <w:w w:val="100"/>
          <w:spacing w:val="0"/>
          <w:color w:val="000000"/>
          <w:position w:val="0"/>
        </w:rPr>
        <w:t>для сети 13 957, отвечающие следующим требованиям:</w:t>
      </w:r>
    </w:p>
    <w:p>
      <w:pPr>
        <w:pStyle w:val="Style25"/>
        <w:widowControl w:val="0"/>
        <w:keepNext w:val="0"/>
        <w:keepLines w:val="0"/>
        <w:shd w:val="clear" w:color="auto" w:fill="auto"/>
        <w:bidi w:val="0"/>
        <w:jc w:val="left"/>
        <w:spacing w:before="0" w:after="0"/>
        <w:ind w:left="40" w:right="5240" w:firstLine="0"/>
      </w:pPr>
      <w:r>
        <w:rPr>
          <w:lang w:val="ru-RU" w:eastAsia="ru-RU" w:bidi="ru-RU"/>
          <w:w w:val="100"/>
          <w:spacing w:val="0"/>
          <w:color w:val="000000"/>
          <w:position w:val="0"/>
        </w:rPr>
        <w:t xml:space="preserve">Форм-фактор Компьютер </w:t>
      </w:r>
      <w:r>
        <w:rPr>
          <w:lang w:val="en-US" w:eastAsia="en-US" w:bidi="en-US"/>
          <w:w w:val="100"/>
          <w:spacing w:val="0"/>
          <w:color w:val="000000"/>
          <w:position w:val="0"/>
        </w:rPr>
        <w:t xml:space="preserve">BK3791S-00C </w:t>
      </w:r>
      <w:r>
        <w:rPr>
          <w:lang w:val="ru-RU" w:eastAsia="ru-RU" w:bidi="ru-RU"/>
          <w:w w:val="100"/>
          <w:spacing w:val="0"/>
          <w:color w:val="000000"/>
          <w:position w:val="0"/>
        </w:rPr>
        <w:t xml:space="preserve">серии </w:t>
      </w:r>
      <w:r>
        <w:rPr>
          <w:lang w:val="en-US" w:eastAsia="en-US" w:bidi="en-US"/>
          <w:w w:val="100"/>
          <w:spacing w:val="0"/>
          <w:color w:val="000000"/>
          <w:position w:val="0"/>
        </w:rPr>
        <w:t xml:space="preserve">BRIK </w:t>
      </w:r>
      <w:r>
        <w:rPr>
          <w:lang w:val="ru-RU" w:eastAsia="ru-RU" w:bidi="ru-RU"/>
          <w:w w:val="100"/>
          <w:spacing w:val="0"/>
          <w:color w:val="000000"/>
          <w:position w:val="0"/>
        </w:rPr>
        <w:t xml:space="preserve">Размеры (ШхВхГ) </w:t>
      </w:r>
      <w:r>
        <w:rPr>
          <w:lang w:val="en-US" w:eastAsia="en-US" w:bidi="en-US"/>
          <w:w w:val="100"/>
          <w:spacing w:val="0"/>
          <w:color w:val="000000"/>
          <w:position w:val="0"/>
        </w:rPr>
        <w:t xml:space="preserve">187x130x52 </w:t>
      </w:r>
      <w:r>
        <w:rPr>
          <w:lang w:val="ru-RU" w:eastAsia="ru-RU" w:bidi="ru-RU"/>
          <w:w w:val="100"/>
          <w:spacing w:val="0"/>
          <w:color w:val="000000"/>
          <w:position w:val="0"/>
        </w:rPr>
        <w:t>мм Масса без адаптера переменного тока 1 кг Питание Внешний блок питания, 220 В Потребляемая мощность 25 Вт</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Наличие в комплекте источника постоянного тока 12 В, 5 А</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Процессор </w:t>
      </w:r>
      <w:r>
        <w:rPr>
          <w:lang w:val="en-US" w:eastAsia="en-US" w:bidi="en-US"/>
          <w:w w:val="100"/>
          <w:spacing w:val="0"/>
          <w:color w:val="000000"/>
          <w:position w:val="0"/>
        </w:rPr>
        <w:t xml:space="preserve">Intel Atom N2600 </w:t>
      </w:r>
      <w:r>
        <w:rPr>
          <w:lang w:val="ru-RU" w:eastAsia="ru-RU" w:bidi="ru-RU"/>
          <w:w w:val="100"/>
          <w:spacing w:val="0"/>
          <w:color w:val="000000"/>
          <w:position w:val="0"/>
        </w:rPr>
        <w:t>в наличии</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Оперативная память 2 Гбайт</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Накопители </w:t>
      </w:r>
      <w:r>
        <w:rPr>
          <w:lang w:val="en-US" w:eastAsia="en-US" w:bidi="en-US"/>
          <w:w w:val="100"/>
          <w:spacing w:val="0"/>
          <w:color w:val="000000"/>
          <w:position w:val="0"/>
        </w:rPr>
        <w:t xml:space="preserve">SSD </w:t>
      </w:r>
      <w:r>
        <w:rPr>
          <w:lang w:val="ru-RU" w:eastAsia="ru-RU" w:bidi="ru-RU"/>
          <w:w w:val="100"/>
          <w:spacing w:val="0"/>
          <w:color w:val="000000"/>
          <w:position w:val="0"/>
        </w:rPr>
        <w:t xml:space="preserve">2 Гбайт </w:t>
      </w:r>
      <w:r>
        <w:rPr>
          <w:lang w:val="en-US" w:eastAsia="en-US" w:bidi="en-US"/>
          <w:w w:val="100"/>
          <w:spacing w:val="0"/>
          <w:color w:val="000000"/>
          <w:position w:val="0"/>
        </w:rPr>
        <w:t xml:space="preserve">HDD </w:t>
      </w:r>
      <w:r>
        <w:rPr>
          <w:lang w:val="ru-RU" w:eastAsia="ru-RU" w:bidi="ru-RU"/>
          <w:w w:val="100"/>
          <w:spacing w:val="0"/>
          <w:color w:val="000000"/>
          <w:position w:val="0"/>
        </w:rPr>
        <w:t>80 Гбайт</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Сетевые порты 4 порта </w:t>
      </w:r>
      <w:r>
        <w:rPr>
          <w:lang w:val="en-US" w:eastAsia="en-US" w:bidi="en-US"/>
          <w:w w:val="100"/>
          <w:spacing w:val="0"/>
          <w:color w:val="000000"/>
          <w:position w:val="0"/>
        </w:rPr>
        <w:t xml:space="preserve">Ethernet RJ45 </w:t>
      </w:r>
      <w:r>
        <w:rPr>
          <w:lang w:val="ru-RU" w:eastAsia="ru-RU" w:bidi="ru-RU"/>
          <w:w w:val="100"/>
          <w:spacing w:val="0"/>
          <w:color w:val="000000"/>
          <w:position w:val="0"/>
        </w:rPr>
        <w:t>10/100/1 ООО Мбит/с</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Порт </w:t>
      </w:r>
      <w:r>
        <w:rPr>
          <w:lang w:val="en-US" w:eastAsia="en-US" w:bidi="en-US"/>
          <w:w w:val="100"/>
          <w:spacing w:val="0"/>
          <w:color w:val="000000"/>
          <w:position w:val="0"/>
        </w:rPr>
        <w:t xml:space="preserve">VGA: </w:t>
      </w:r>
      <w:r>
        <w:rPr>
          <w:lang w:val="ru-RU" w:eastAsia="ru-RU" w:bidi="ru-RU"/>
          <w:w w:val="100"/>
          <w:spacing w:val="0"/>
          <w:color w:val="000000"/>
          <w:position w:val="0"/>
        </w:rPr>
        <w:t>1</w:t>
      </w:r>
    </w:p>
    <w:p>
      <w:pPr>
        <w:pStyle w:val="Style2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порт </w:t>
      </w:r>
      <w:r>
        <w:rPr>
          <w:lang w:val="en-US" w:eastAsia="en-US" w:bidi="en-US"/>
          <w:w w:val="100"/>
          <w:spacing w:val="0"/>
          <w:color w:val="000000"/>
          <w:position w:val="0"/>
        </w:rPr>
        <w:t xml:space="preserve">USB </w:t>
      </w:r>
      <w:r>
        <w:rPr>
          <w:lang w:val="ru-RU" w:eastAsia="ru-RU" w:bidi="ru-RU"/>
          <w:w w:val="100"/>
          <w:spacing w:val="0"/>
          <w:color w:val="000000"/>
          <w:position w:val="0"/>
        </w:rPr>
        <w:t>2.0:1</w:t>
      </w:r>
    </w:p>
    <w:p>
      <w:pPr>
        <w:pStyle w:val="Style25"/>
        <w:widowControl w:val="0"/>
        <w:keepNext w:val="0"/>
        <w:keepLines w:val="0"/>
        <w:shd w:val="clear" w:color="auto" w:fill="auto"/>
        <w:bidi w:val="0"/>
        <w:spacing w:before="0" w:after="0"/>
        <w:ind w:left="40" w:right="0" w:firstLine="0"/>
      </w:pPr>
      <w:r>
        <w:rPr>
          <w:lang w:val="en-US" w:eastAsia="en-US" w:bidi="en-US"/>
          <w:w w:val="100"/>
          <w:spacing w:val="0"/>
          <w:color w:val="000000"/>
          <w:position w:val="0"/>
        </w:rPr>
        <w:t>COM</w:t>
      </w:r>
      <w:r>
        <w:rPr>
          <w:lang w:val="ru-RU" w:eastAsia="ru-RU" w:bidi="ru-RU"/>
          <w:w w:val="100"/>
          <w:spacing w:val="0"/>
          <w:color w:val="000000"/>
          <w:position w:val="0"/>
        </w:rPr>
        <w:t xml:space="preserve">-порт </w:t>
      </w:r>
      <w:r>
        <w:rPr>
          <w:lang w:val="en-US" w:eastAsia="en-US" w:bidi="en-US"/>
          <w:w w:val="100"/>
          <w:spacing w:val="0"/>
          <w:color w:val="000000"/>
          <w:position w:val="0"/>
        </w:rPr>
        <w:t xml:space="preserve">RS-232: </w:t>
      </w:r>
      <w:r>
        <w:rPr>
          <w:lang w:val="ru-RU" w:eastAsia="ru-RU" w:bidi="ru-RU"/>
          <w:w w:val="100"/>
          <w:spacing w:val="0"/>
          <w:color w:val="000000"/>
          <w:position w:val="0"/>
        </w:rPr>
        <w:t>1</w:t>
      </w:r>
    </w:p>
    <w:p>
      <w:pPr>
        <w:pStyle w:val="Style25"/>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Программное обеспечение, поставляемое в составе ПАК, имеет версию 4.2 и соответствует следующим требованиям:</w:t>
      </w:r>
    </w:p>
    <w:p>
      <w:pPr>
        <w:pStyle w:val="Style25"/>
        <w:numPr>
          <w:ilvl w:val="0"/>
          <w:numId w:val="5"/>
        </w:numPr>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Обеспечивает функции прозрачного шифратора протокола </w:t>
      </w:r>
      <w:r>
        <w:rPr>
          <w:lang w:val="en-US" w:eastAsia="en-US" w:bidi="en-US"/>
          <w:w w:val="100"/>
          <w:spacing w:val="0"/>
          <w:color w:val="000000"/>
          <w:position w:val="0"/>
        </w:rPr>
        <w:t>IP.</w:t>
      </w:r>
    </w:p>
    <w:p>
      <w:pPr>
        <w:pStyle w:val="Style25"/>
        <w:numPr>
          <w:ilvl w:val="0"/>
          <w:numId w:val="5"/>
        </w:numPr>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 xml:space="preserve"> Обеспечивает защиту соединения между удаленными сегментами сети на сетевом и канальном уровне модели </w:t>
      </w:r>
      <w:r>
        <w:rPr>
          <w:lang w:val="en-US" w:eastAsia="en-US" w:bidi="en-US"/>
          <w:w w:val="100"/>
          <w:spacing w:val="0"/>
          <w:color w:val="000000"/>
          <w:position w:val="0"/>
        </w:rPr>
        <w:t>OSI.</w:t>
      </w:r>
    </w:p>
    <w:p>
      <w:pPr>
        <w:pStyle w:val="Style25"/>
        <w:numPr>
          <w:ilvl w:val="0"/>
          <w:numId w:val="5"/>
        </w:numPr>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Выполняет шифрование и имитозагциту сетевого трафика.</w:t>
      </w:r>
    </w:p>
    <w:p>
      <w:pPr>
        <w:pStyle w:val="Style25"/>
        <w:numPr>
          <w:ilvl w:val="0"/>
          <w:numId w:val="5"/>
        </w:numPr>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 xml:space="preserve"> Шифрует каждый </w:t>
      </w:r>
      <w:r>
        <w:rPr>
          <w:lang w:val="en-US" w:eastAsia="en-US" w:bidi="en-US"/>
          <w:w w:val="100"/>
          <w:spacing w:val="0"/>
          <w:color w:val="000000"/>
          <w:position w:val="0"/>
        </w:rPr>
        <w:t>IP</w:t>
      </w:r>
      <w:r>
        <w:rPr>
          <w:lang w:val="ru-RU" w:eastAsia="ru-RU" w:bidi="ru-RU"/>
          <w:w w:val="100"/>
          <w:spacing w:val="0"/>
          <w:color w:val="000000"/>
          <w:position w:val="0"/>
        </w:rPr>
        <w:t xml:space="preserve">-пакет на уникальных симметричных ключах связи с другими </w:t>
      </w:r>
      <w:r>
        <w:rPr>
          <w:lang w:val="en-US" w:eastAsia="en-US" w:bidi="en-US"/>
          <w:w w:val="100"/>
          <w:spacing w:val="0"/>
          <w:color w:val="000000"/>
          <w:position w:val="0"/>
        </w:rPr>
        <w:t>VPN</w:t>
      </w:r>
      <w:r>
        <w:rPr>
          <w:lang w:val="ru-RU" w:eastAsia="ru-RU" w:bidi="ru-RU"/>
          <w:w w:val="100"/>
          <w:spacing w:val="0"/>
          <w:color w:val="000000"/>
          <w:position w:val="0"/>
        </w:rPr>
        <w:t>-узлами.</w:t>
      </w:r>
    </w:p>
    <w:p>
      <w:pPr>
        <w:pStyle w:val="Style25"/>
        <w:numPr>
          <w:ilvl w:val="0"/>
          <w:numId w:val="5"/>
        </w:numPr>
        <w:widowControl w:val="0"/>
        <w:keepNext w:val="0"/>
        <w:keepLines w:val="0"/>
        <w:shd w:val="clear" w:color="auto" w:fill="auto"/>
        <w:bidi w:val="0"/>
        <w:spacing w:before="0" w:after="0"/>
        <w:ind w:left="20" w:right="20" w:firstLine="0"/>
      </w:pPr>
      <w:r>
        <w:rPr>
          <w:rStyle w:val="CharStyle27"/>
          <w:i w:val="0"/>
          <w:iCs w:val="0"/>
        </w:rPr>
        <w:t xml:space="preserve"> </w:t>
      </w:r>
      <w:r>
        <w:rPr>
          <w:lang w:val="ru-RU" w:eastAsia="ru-RU" w:bidi="ru-RU"/>
          <w:w w:val="100"/>
          <w:spacing w:val="0"/>
          <w:color w:val="000000"/>
          <w:position w:val="0"/>
        </w:rPr>
        <w:t xml:space="preserve">Поддерживает технологию виртуальных </w:t>
      </w:r>
      <w:r>
        <w:rPr>
          <w:lang w:val="en-US" w:eastAsia="en-US" w:bidi="en-US"/>
          <w:w w:val="100"/>
          <w:spacing w:val="0"/>
          <w:color w:val="000000"/>
          <w:position w:val="0"/>
        </w:rPr>
        <w:t>IP</w:t>
      </w:r>
      <w:r>
        <w:rPr>
          <w:lang w:val="ru-RU" w:eastAsia="ru-RU" w:bidi="ru-RU"/>
          <w:w w:val="100"/>
          <w:spacing w:val="0"/>
          <w:color w:val="000000"/>
          <w:position w:val="0"/>
        </w:rPr>
        <w:t xml:space="preserve">-адресов с целью обеспечения связи между защищаемыми сетями с пересекаюгцейся </w:t>
      </w:r>
      <w:r>
        <w:rPr>
          <w:lang w:val="en-US" w:eastAsia="en-US" w:bidi="en-US"/>
          <w:w w:val="100"/>
          <w:spacing w:val="0"/>
          <w:color w:val="000000"/>
          <w:position w:val="0"/>
        </w:rPr>
        <w:t xml:space="preserve">IP </w:t>
      </w:r>
      <w:r>
        <w:rPr>
          <w:lang w:val="ru-RU" w:eastAsia="ru-RU" w:bidi="ru-RU"/>
          <w:w w:val="100"/>
          <w:spacing w:val="0"/>
          <w:color w:val="000000"/>
          <w:position w:val="0"/>
        </w:rPr>
        <w:t>адресацией.</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Обеспечивает функцию сокрытия сетевой структуры </w:t>
      </w:r>
      <w:r>
        <w:rPr>
          <w:lang w:val="en-US" w:eastAsia="en-US" w:bidi="en-US"/>
          <w:w w:val="100"/>
          <w:spacing w:val="0"/>
          <w:color w:val="000000"/>
          <w:position w:val="0"/>
        </w:rPr>
        <w:t xml:space="preserve">VPN </w:t>
      </w:r>
      <w:r>
        <w:rPr>
          <w:lang w:val="ru-RU" w:eastAsia="ru-RU" w:bidi="ru-RU"/>
          <w:w w:val="100"/>
          <w:spacing w:val="0"/>
          <w:color w:val="000000"/>
          <w:position w:val="0"/>
        </w:rPr>
        <w:t xml:space="preserve">сети, которая обеспечивает работу защигценных компьютеров локальной сети (сегмента сети) в </w:t>
      </w:r>
      <w:r>
        <w:rPr>
          <w:lang w:val="en-US" w:eastAsia="en-US" w:bidi="en-US"/>
          <w:w w:val="100"/>
          <w:spacing w:val="0"/>
          <w:color w:val="000000"/>
          <w:position w:val="0"/>
        </w:rPr>
        <w:t xml:space="preserve">VPN </w:t>
      </w:r>
      <w:r>
        <w:rPr>
          <w:lang w:val="ru-RU" w:eastAsia="ru-RU" w:bidi="ru-RU"/>
          <w:w w:val="100"/>
          <w:spacing w:val="0"/>
          <w:color w:val="000000"/>
          <w:position w:val="0"/>
        </w:rPr>
        <w:t>от имени одного адреса;</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Поддерживает прозрачную работу через различные </w:t>
      </w:r>
      <w:r>
        <w:rPr>
          <w:lang w:val="en-US" w:eastAsia="en-US" w:bidi="en-US"/>
          <w:w w:val="100"/>
          <w:spacing w:val="0"/>
          <w:color w:val="000000"/>
          <w:position w:val="0"/>
        </w:rPr>
        <w:t>NAT</w:t>
      </w:r>
      <w:r>
        <w:rPr>
          <w:lang w:val="ru-RU" w:eastAsia="ru-RU" w:bidi="ru-RU"/>
          <w:w w:val="100"/>
          <w:spacing w:val="0"/>
          <w:color w:val="000000"/>
          <w:position w:val="0"/>
        </w:rPr>
        <w:t>-устройства.</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Обеспечивает возмоэ/сность подключения </w:t>
      </w:r>
      <w:r>
        <w:rPr>
          <w:lang w:val="en-US" w:eastAsia="en-US" w:bidi="en-US"/>
          <w:w w:val="100"/>
          <w:spacing w:val="0"/>
          <w:color w:val="000000"/>
          <w:position w:val="0"/>
        </w:rPr>
        <w:t xml:space="preserve">VPN </w:t>
      </w:r>
      <w:r>
        <w:rPr>
          <w:lang w:val="ru-RU" w:eastAsia="ru-RU" w:bidi="ru-RU"/>
          <w:w w:val="100"/>
          <w:spacing w:val="0"/>
          <w:color w:val="000000"/>
          <w:position w:val="0"/>
        </w:rPr>
        <w:t xml:space="preserve">клиентов по протоколам </w:t>
      </w:r>
      <w:r>
        <w:rPr>
          <w:lang w:val="en-US" w:eastAsia="en-US" w:bidi="en-US"/>
          <w:w w:val="100"/>
          <w:spacing w:val="0"/>
          <w:color w:val="000000"/>
          <w:position w:val="0"/>
        </w:rPr>
        <w:t xml:space="preserve">UDP </w:t>
      </w:r>
      <w:r>
        <w:rPr>
          <w:lang w:val="ru-RU" w:eastAsia="ru-RU" w:bidi="ru-RU"/>
          <w:w w:val="100"/>
          <w:spacing w:val="0"/>
          <w:color w:val="000000"/>
          <w:position w:val="0"/>
        </w:rPr>
        <w:t xml:space="preserve">и </w:t>
      </w:r>
      <w:r>
        <w:rPr>
          <w:lang w:val="en-US" w:eastAsia="en-US" w:bidi="en-US"/>
          <w:w w:val="100"/>
          <w:spacing w:val="0"/>
          <w:color w:val="000000"/>
          <w:position w:val="0"/>
        </w:rPr>
        <w:t>TCP.</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Обеспечивает функции сервера </w:t>
      </w:r>
      <w:r>
        <w:rPr>
          <w:lang w:val="en-US" w:eastAsia="en-US" w:bidi="en-US"/>
          <w:w w:val="100"/>
          <w:spacing w:val="0"/>
          <w:color w:val="000000"/>
          <w:position w:val="0"/>
        </w:rPr>
        <w:t>IP</w:t>
      </w:r>
      <w:r>
        <w:rPr>
          <w:lang w:val="ru-RU" w:eastAsia="ru-RU" w:bidi="ru-RU"/>
          <w:w w:val="100"/>
          <w:spacing w:val="0"/>
          <w:color w:val="000000"/>
          <w:position w:val="0"/>
        </w:rPr>
        <w:t xml:space="preserve">-адресов для </w:t>
      </w:r>
      <w:r>
        <w:rPr>
          <w:lang w:val="en-US" w:eastAsia="en-US" w:bidi="en-US"/>
          <w:w w:val="100"/>
          <w:spacing w:val="0"/>
          <w:color w:val="000000"/>
          <w:position w:val="0"/>
        </w:rPr>
        <w:t>VPN</w:t>
      </w:r>
      <w:r>
        <w:rPr>
          <w:lang w:val="ru-RU" w:eastAsia="ru-RU" w:bidi="ru-RU"/>
          <w:w w:val="100"/>
          <w:spacing w:val="0"/>
          <w:color w:val="000000"/>
          <w:position w:val="0"/>
        </w:rPr>
        <w:t xml:space="preserve">-узлов для регистрации и предоставления информации о текущих </w:t>
      </w:r>
      <w:r>
        <w:rPr>
          <w:lang w:val="en-US" w:eastAsia="en-US" w:bidi="en-US"/>
          <w:w w:val="100"/>
          <w:spacing w:val="0"/>
          <w:color w:val="000000"/>
          <w:position w:val="0"/>
        </w:rPr>
        <w:t>IP</w:t>
      </w:r>
      <w:r>
        <w:rPr>
          <w:lang w:val="ru-RU" w:eastAsia="ru-RU" w:bidi="ru-RU"/>
          <w:w w:val="100"/>
          <w:spacing w:val="0"/>
          <w:color w:val="000000"/>
          <w:position w:val="0"/>
        </w:rPr>
        <w:t xml:space="preserve">-адресах и способах подключения </w:t>
      </w:r>
      <w:r>
        <w:rPr>
          <w:lang w:val="en-US" w:eastAsia="en-US" w:bidi="en-US"/>
          <w:w w:val="100"/>
          <w:spacing w:val="0"/>
          <w:color w:val="000000"/>
          <w:position w:val="0"/>
        </w:rPr>
        <w:t>VPN</w:t>
      </w:r>
      <w:r>
        <w:rPr>
          <w:lang w:val="ru-RU" w:eastAsia="ru-RU" w:bidi="ru-RU"/>
          <w:w w:val="100"/>
          <w:spacing w:val="0"/>
          <w:color w:val="000000"/>
          <w:position w:val="0"/>
        </w:rPr>
        <w:t xml:space="preserve">-узлов к </w:t>
      </w:r>
      <w:r>
        <w:rPr>
          <w:lang w:val="en-US" w:eastAsia="en-US" w:bidi="en-US"/>
          <w:w w:val="100"/>
          <w:spacing w:val="0"/>
          <w:color w:val="000000"/>
          <w:position w:val="0"/>
        </w:rPr>
        <w:t>VPN-cemu.</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Выполняет обработку прикладных протоколов на защищенных узлах, которым назначены виртуальные </w:t>
      </w:r>
      <w:r>
        <w:rPr>
          <w:lang w:val="en-US" w:eastAsia="en-US" w:bidi="en-US"/>
          <w:w w:val="100"/>
          <w:spacing w:val="0"/>
          <w:color w:val="000000"/>
          <w:position w:val="0"/>
        </w:rPr>
        <w:t>IP</w:t>
      </w:r>
      <w:r>
        <w:rPr>
          <w:lang w:val="ru-RU" w:eastAsia="ru-RU" w:bidi="ru-RU"/>
          <w:w w:val="100"/>
          <w:spacing w:val="0"/>
          <w:color w:val="000000"/>
          <w:position w:val="0"/>
        </w:rPr>
        <w:t>-адреса или для которых выполняется трансляция адресов.</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Обеспечивает замкнутость среды функционирования криптосредства.</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Выполняет межсетевое экранирование расшифрованного </w:t>
      </w:r>
      <w:r>
        <w:rPr>
          <w:lang w:val="en-US" w:eastAsia="en-US" w:bidi="en-US"/>
          <w:w w:val="100"/>
          <w:spacing w:val="0"/>
          <w:color w:val="000000"/>
          <w:position w:val="0"/>
        </w:rPr>
        <w:t>IP</w:t>
      </w:r>
      <w:r>
        <w:rPr>
          <w:lang w:val="ru-RU" w:eastAsia="ru-RU" w:bidi="ru-RU"/>
          <w:w w:val="100"/>
          <w:spacing w:val="0"/>
          <w:color w:val="000000"/>
          <w:position w:val="0"/>
        </w:rPr>
        <w:t xml:space="preserve">-трафика и </w:t>
      </w:r>
      <w:r>
        <w:rPr>
          <w:lang w:val="en-US" w:eastAsia="en-US" w:bidi="en-US"/>
          <w:w w:val="100"/>
          <w:spacing w:val="0"/>
          <w:color w:val="000000"/>
          <w:position w:val="0"/>
        </w:rPr>
        <w:t>IP</w:t>
      </w:r>
      <w:r>
        <w:rPr>
          <w:lang w:val="ru-RU" w:eastAsia="ru-RU" w:bidi="ru-RU"/>
          <w:w w:val="100"/>
          <w:spacing w:val="0"/>
          <w:color w:val="000000"/>
          <w:position w:val="0"/>
        </w:rPr>
        <w:t>-трафика, подлежагцего шифрованию.</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Выполняет перехват всего </w:t>
      </w:r>
      <w:r>
        <w:rPr>
          <w:lang w:val="en-US" w:eastAsia="en-US" w:bidi="en-US"/>
          <w:w w:val="100"/>
          <w:spacing w:val="0"/>
          <w:color w:val="000000"/>
          <w:position w:val="0"/>
        </w:rPr>
        <w:t>IP</w:t>
      </w:r>
      <w:r>
        <w:rPr>
          <w:lang w:val="ru-RU" w:eastAsia="ru-RU" w:bidi="ru-RU"/>
          <w:w w:val="100"/>
          <w:spacing w:val="0"/>
          <w:color w:val="000000"/>
          <w:position w:val="0"/>
        </w:rPr>
        <w:t xml:space="preserve">-трафика на сетевом уровне модели </w:t>
      </w:r>
      <w:r>
        <w:rPr>
          <w:lang w:val="en-US" w:eastAsia="en-US" w:bidi="en-US"/>
          <w:w w:val="100"/>
          <w:spacing w:val="0"/>
          <w:color w:val="000000"/>
          <w:position w:val="0"/>
        </w:rPr>
        <w:t xml:space="preserve">OSI </w:t>
      </w:r>
      <w:r>
        <w:rPr>
          <w:lang w:val="ru-RU" w:eastAsia="ru-RU" w:bidi="ru-RU"/>
          <w:w w:val="100"/>
          <w:spacing w:val="0"/>
          <w:color w:val="000000"/>
          <w:position w:val="0"/>
        </w:rPr>
        <w:t xml:space="preserve">и блокировать все протоколы, кроме </w:t>
      </w:r>
      <w:r>
        <w:rPr>
          <w:lang w:val="en-US" w:eastAsia="en-US" w:bidi="en-US"/>
          <w:w w:val="100"/>
          <w:spacing w:val="0"/>
          <w:color w:val="000000"/>
          <w:position w:val="0"/>
        </w:rPr>
        <w:t>IP.</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Обеспечивает межсетевое экранирование по совокупности сетевых параметров (сетевой узел, </w:t>
      </w:r>
      <w:r>
        <w:rPr>
          <w:lang w:val="en-US" w:eastAsia="en-US" w:bidi="en-US"/>
          <w:w w:val="100"/>
          <w:spacing w:val="0"/>
          <w:color w:val="000000"/>
          <w:position w:val="0"/>
        </w:rPr>
        <w:t xml:space="preserve">IP, </w:t>
      </w:r>
      <w:r>
        <w:rPr>
          <w:lang w:val="ru-RU" w:eastAsia="ru-RU" w:bidi="ru-RU"/>
          <w:w w:val="100"/>
          <w:spacing w:val="0"/>
          <w:color w:val="000000"/>
          <w:position w:val="0"/>
        </w:rPr>
        <w:t>порт, протокол).</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Фиксирует все события, связанные с фильтрацией 1Р-трафика, в электронном журнале регистрации </w:t>
      </w:r>
      <w:r>
        <w:rPr>
          <w:lang w:val="en-US" w:eastAsia="en-US" w:bidi="en-US"/>
          <w:w w:val="100"/>
          <w:spacing w:val="0"/>
          <w:color w:val="000000"/>
          <w:position w:val="0"/>
        </w:rPr>
        <w:t>IP</w:t>
      </w:r>
      <w:r>
        <w:rPr>
          <w:lang w:val="ru-RU" w:eastAsia="ru-RU" w:bidi="ru-RU"/>
          <w:w w:val="100"/>
          <w:spacing w:val="0"/>
          <w:color w:val="000000"/>
          <w:position w:val="0"/>
        </w:rPr>
        <w:t>- пакетов.</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Принимает централизованные политики безопасности с сервера управления.</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Выполняет функции </w:t>
      </w:r>
      <w:r>
        <w:rPr>
          <w:lang w:val="en-US" w:eastAsia="en-US" w:bidi="en-US"/>
          <w:w w:val="100"/>
          <w:spacing w:val="0"/>
          <w:color w:val="000000"/>
          <w:position w:val="0"/>
        </w:rPr>
        <w:t>DHCP</w:t>
      </w:r>
      <w:r>
        <w:rPr>
          <w:lang w:val="ru-RU" w:eastAsia="ru-RU" w:bidi="ru-RU"/>
          <w:w w:val="100"/>
          <w:spacing w:val="0"/>
          <w:color w:val="000000"/>
          <w:position w:val="0"/>
        </w:rPr>
        <w:t xml:space="preserve">-сервера и агента </w:t>
      </w:r>
      <w:r>
        <w:rPr>
          <w:lang w:val="en-US" w:eastAsia="en-US" w:bidi="en-US"/>
          <w:w w:val="100"/>
          <w:spacing w:val="0"/>
          <w:color w:val="000000"/>
          <w:position w:val="0"/>
        </w:rPr>
        <w:t>DHCP-relay.</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Выполняет функцию </w:t>
      </w:r>
      <w:r>
        <w:rPr>
          <w:lang w:val="en-US" w:eastAsia="en-US" w:bidi="en-US"/>
          <w:w w:val="100"/>
          <w:spacing w:val="0"/>
          <w:color w:val="000000"/>
          <w:position w:val="0"/>
        </w:rPr>
        <w:t>DNS-cepeepa.</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Выполняет функцию </w:t>
      </w:r>
      <w:r>
        <w:rPr>
          <w:lang w:val="en-US" w:eastAsia="en-US" w:bidi="en-US"/>
          <w:w w:val="100"/>
          <w:spacing w:val="0"/>
          <w:color w:val="000000"/>
          <w:position w:val="0"/>
        </w:rPr>
        <w:t>NTP</w:t>
      </w:r>
      <w:r>
        <w:rPr>
          <w:lang w:val="ru-RU" w:eastAsia="ru-RU" w:bidi="ru-RU"/>
          <w:w w:val="100"/>
          <w:spacing w:val="0"/>
          <w:color w:val="000000"/>
          <w:position w:val="0"/>
        </w:rPr>
        <w:t>-сервера.</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Выполняет функцию </w:t>
      </w:r>
      <w:r>
        <w:rPr>
          <w:lang w:val="en-US" w:eastAsia="en-US" w:bidi="en-US"/>
          <w:w w:val="100"/>
          <w:spacing w:val="0"/>
          <w:color w:val="000000"/>
          <w:position w:val="0"/>
        </w:rPr>
        <w:t>HTTP</w:t>
      </w:r>
      <w:r>
        <w:rPr>
          <w:lang w:val="ru-RU" w:eastAsia="ru-RU" w:bidi="ru-RU"/>
          <w:w w:val="100"/>
          <w:spacing w:val="0"/>
          <w:color w:val="000000"/>
          <w:position w:val="0"/>
        </w:rPr>
        <w:t xml:space="preserve">-прокси сервера </w:t>
      </w:r>
      <w:r>
        <w:rPr>
          <w:lang w:val="en-US" w:eastAsia="en-US" w:bidi="en-US"/>
          <w:w w:val="100"/>
          <w:spacing w:val="0"/>
          <w:color w:val="000000"/>
          <w:position w:val="0"/>
        </w:rPr>
        <w:t>(HTTP, HTTPS).</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Использует справочную и ключевую информацию, созданную в ПК управления сетью.</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Поддерживает работу с виртуальными локальными сетями </w:t>
      </w:r>
      <w:r>
        <w:rPr>
          <w:lang w:val="en-US" w:eastAsia="en-US" w:bidi="en-US"/>
          <w:w w:val="100"/>
          <w:spacing w:val="0"/>
          <w:color w:val="000000"/>
          <w:position w:val="0"/>
        </w:rPr>
        <w:t>(VLAN).</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Обеспечивает возможность агрегации сетевых интерфейсов ПАК</w:t>
      </w:r>
      <w:r>
        <w:rPr>
          <w:rStyle w:val="CharStyle27"/>
          <w:i w:val="0"/>
          <w:iCs w:val="0"/>
        </w:rPr>
        <w:t xml:space="preserve"> - </w:t>
      </w:r>
      <w:r>
        <w:rPr>
          <w:lang w:val="ru-RU" w:eastAsia="ru-RU" w:bidi="ru-RU"/>
          <w:w w:val="100"/>
          <w:spacing w:val="0"/>
          <w:color w:val="000000"/>
          <w:position w:val="0"/>
        </w:rPr>
        <w:t xml:space="preserve">механизм </w:t>
      </w:r>
      <w:r>
        <w:rPr>
          <w:lang w:val="en-US" w:eastAsia="en-US" w:bidi="en-US"/>
          <w:w w:val="100"/>
          <w:spacing w:val="0"/>
          <w:color w:val="000000"/>
          <w:position w:val="0"/>
        </w:rPr>
        <w:t xml:space="preserve">bonding </w:t>
      </w:r>
      <w:r>
        <w:rPr>
          <w:lang w:val="ru-RU" w:eastAsia="ru-RU" w:bidi="ru-RU"/>
          <w:w w:val="100"/>
          <w:spacing w:val="0"/>
          <w:color w:val="000000"/>
          <w:position w:val="0"/>
        </w:rPr>
        <w:t xml:space="preserve">с поддержкой протокола </w:t>
      </w:r>
      <w:r>
        <w:rPr>
          <w:lang w:val="en-US" w:eastAsia="en-US" w:bidi="en-US"/>
          <w:w w:val="100"/>
          <w:spacing w:val="0"/>
          <w:color w:val="000000"/>
          <w:position w:val="0"/>
        </w:rPr>
        <w:t>LACP</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Обеспечивает политику качества обслуживания </w:t>
      </w:r>
      <w:r>
        <w:rPr>
          <w:lang w:val="en-US" w:eastAsia="en-US" w:bidi="en-US"/>
          <w:w w:val="100"/>
          <w:spacing w:val="0"/>
          <w:color w:val="000000"/>
          <w:position w:val="0"/>
        </w:rPr>
        <w:t xml:space="preserve">(QoS) </w:t>
      </w:r>
      <w:r>
        <w:rPr>
          <w:lang w:val="ru-RU" w:eastAsia="ru-RU" w:bidi="ru-RU"/>
          <w:w w:val="100"/>
          <w:spacing w:val="0"/>
          <w:color w:val="000000"/>
          <w:position w:val="0"/>
        </w:rPr>
        <w:t xml:space="preserve">приоритетной обработки средствами сервиса дифференцированного обслуживания </w:t>
      </w:r>
      <w:r>
        <w:rPr>
          <w:lang w:val="en-US" w:eastAsia="en-US" w:bidi="en-US"/>
          <w:w w:val="100"/>
          <w:spacing w:val="0"/>
          <w:color w:val="000000"/>
          <w:position w:val="0"/>
        </w:rPr>
        <w:t>(DiffServ).</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Поддерживает протокол динамической маршрутизации </w:t>
      </w:r>
      <w:r>
        <w:rPr>
          <w:lang w:val="en-US" w:eastAsia="en-US" w:bidi="en-US"/>
          <w:w w:val="100"/>
          <w:spacing w:val="0"/>
          <w:color w:val="000000"/>
          <w:position w:val="0"/>
        </w:rPr>
        <w:t>OSPF.</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Обеспечивает взаимодействие с источником бесперебойного питания (наличие </w:t>
      </w:r>
      <w:r>
        <w:rPr>
          <w:lang w:val="en-US" w:eastAsia="en-US" w:bidi="en-US"/>
          <w:w w:val="100"/>
          <w:spacing w:val="0"/>
          <w:color w:val="000000"/>
          <w:position w:val="0"/>
        </w:rPr>
        <w:t>UPS</w:t>
      </w:r>
      <w:r>
        <w:rPr>
          <w:lang w:val="ru-RU" w:eastAsia="ru-RU" w:bidi="ru-RU"/>
          <w:w w:val="100"/>
          <w:spacing w:val="0"/>
          <w:color w:val="000000"/>
          <w:position w:val="0"/>
        </w:rPr>
        <w:t>-службы).</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Поддерживает мониторинг по протоколу </w:t>
      </w:r>
      <w:r>
        <w:rPr>
          <w:lang w:val="en-US" w:eastAsia="en-US" w:bidi="en-US"/>
          <w:w w:val="100"/>
          <w:spacing w:val="0"/>
          <w:color w:val="000000"/>
          <w:position w:val="0"/>
        </w:rPr>
        <w:t xml:space="preserve">SNMP </w:t>
      </w:r>
      <w:r>
        <w:rPr>
          <w:lang w:val="ru-RU" w:eastAsia="ru-RU" w:bidi="ru-RU"/>
          <w:w w:val="100"/>
          <w:spacing w:val="0"/>
          <w:color w:val="000000"/>
          <w:position w:val="0"/>
        </w:rPr>
        <w:t xml:space="preserve">(включая асинхронный режим работы </w:t>
      </w:r>
      <w:r>
        <w:rPr>
          <w:lang w:val="en-US" w:eastAsia="en-US" w:bidi="en-US"/>
          <w:w w:val="100"/>
          <w:spacing w:val="0"/>
          <w:color w:val="000000"/>
          <w:position w:val="0"/>
        </w:rPr>
        <w:t>SNMP Traps).</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Поддерживает удаленное администрирование с помощью графического </w:t>
      </w:r>
      <w:r>
        <w:rPr>
          <w:lang w:val="en-US" w:eastAsia="en-US" w:bidi="en-US"/>
          <w:w w:val="100"/>
          <w:spacing w:val="0"/>
          <w:color w:val="000000"/>
          <w:position w:val="0"/>
        </w:rPr>
        <w:t>WEB</w:t>
      </w:r>
      <w:r>
        <w:rPr>
          <w:lang w:val="ru-RU" w:eastAsia="ru-RU" w:bidi="ru-RU"/>
          <w:w w:val="100"/>
          <w:spacing w:val="0"/>
          <w:color w:val="000000"/>
          <w:position w:val="0"/>
        </w:rPr>
        <w:t xml:space="preserve">-интерфейса и протокола </w:t>
      </w:r>
      <w:r>
        <w:rPr>
          <w:lang w:val="en-US" w:eastAsia="en-US" w:bidi="en-US"/>
          <w:w w:val="100"/>
          <w:spacing w:val="0"/>
          <w:color w:val="000000"/>
          <w:position w:val="0"/>
        </w:rPr>
        <w:t>SSH.</w:t>
      </w:r>
    </w:p>
    <w:p>
      <w:pPr>
        <w:pStyle w:val="Style25"/>
        <w:numPr>
          <w:ilvl w:val="0"/>
          <w:numId w:val="5"/>
        </w:numPr>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 Поддерживает ролевую аутентификацию пользователя и администратора.</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Обеспечивает контроль целостности ПО, программных модулей и данных, осуществляемый путем вычисления контрольных значений;</w:t>
      </w:r>
    </w:p>
    <w:p>
      <w:pPr>
        <w:pStyle w:val="Style25"/>
        <w:numPr>
          <w:ilvl w:val="0"/>
          <w:numId w:val="5"/>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Обеспечивает автоматический прием и обновления справочной и ключевой информации, а также программного обеспечения».</w:t>
      </w:r>
    </w:p>
    <w:p>
      <w:pPr>
        <w:pStyle w:val="Style16"/>
        <w:widowControl w:val="0"/>
        <w:keepNext w:val="0"/>
        <w:keepLines w:val="0"/>
        <w:shd w:val="clear" w:color="auto" w:fill="auto"/>
        <w:bidi w:val="0"/>
        <w:jc w:val="left"/>
        <w:spacing w:before="0" w:after="0" w:line="274" w:lineRule="exact"/>
        <w:ind w:left="20" w:right="20" w:firstLine="720"/>
      </w:pPr>
      <w:r>
        <w:rPr>
          <w:lang w:val="ru-RU" w:eastAsia="ru-RU" w:bidi="ru-RU"/>
          <w:w w:val="100"/>
          <w:spacing w:val="0"/>
          <w:color w:val="000000"/>
          <w:position w:val="0"/>
        </w:rPr>
        <w:t>При этом отсутствует указание на технические и функциональные характеристики по установленным требованиям к сети передачи данных (пропускная способность канала связи от элементов весогабаритного контроля к ЦОД - не менее 20 Мбит/сек; о передаче данных - всего объема трафика со всего периферийного оборудования в близком к реальному масштабу времени). В соответствии с инструкцией по заполнению первой части заявки:</w:t>
      </w:r>
    </w:p>
    <w:p>
      <w:pPr>
        <w:pStyle w:val="Style16"/>
        <w:numPr>
          <w:ilvl w:val="0"/>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участником закупки при подготовке заявки на участие в электронном аукционе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аукционной документации в разделе «Наименование, описание объекта закупки и объема работ (услуг)».</w:t>
      </w:r>
    </w:p>
    <w:p>
      <w:pPr>
        <w:pStyle w:val="Style16"/>
        <w:numPr>
          <w:ilvl w:val="0"/>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если при описании характеристики объекта закупки в качестве показателя соответствия (значения) заказчиком указаны слова </w:t>
      </w:r>
      <w:r>
        <w:rPr>
          <w:rStyle w:val="CharStyle19"/>
        </w:rPr>
        <w:t xml:space="preserve">«наличие» или конкретные показатели, </w:t>
      </w:r>
      <w:r>
        <w:rPr>
          <w:lang w:val="ru-RU" w:eastAsia="ru-RU" w:bidi="ru-RU"/>
          <w:w w:val="100"/>
          <w:spacing w:val="0"/>
          <w:color w:val="000000"/>
          <w:position w:val="0"/>
        </w:rPr>
        <w:t xml:space="preserve">участником аукциона должен быть предложен товар с точно таким же описанием характеристик с использованием оборотов примененных заказчиком, т.е. воспроизводится </w:t>
      </w:r>
      <w:r>
        <w:rPr>
          <w:rStyle w:val="CharStyle18"/>
        </w:rPr>
        <w:t>дословно «наличие»</w:t>
      </w:r>
      <w:r>
        <w:rPr>
          <w:lang w:val="ru-RU" w:eastAsia="ru-RU" w:bidi="ru-RU"/>
          <w:w w:val="100"/>
          <w:spacing w:val="0"/>
          <w:color w:val="000000"/>
          <w:position w:val="0"/>
        </w:rPr>
        <w:t xml:space="preserve">, а в качестве конкретного значения показателя </w:t>
      </w:r>
      <w:r>
        <w:rPr>
          <w:rStyle w:val="CharStyle18"/>
        </w:rPr>
        <w:t>указываются слова или знаки, использованные при</w:t>
      </w:r>
      <w:r>
        <w:rPr>
          <w:lang w:val="ru-RU" w:eastAsia="ru-RU" w:bidi="ru-RU"/>
          <w:w w:val="100"/>
          <w:spacing w:val="0"/>
          <w:color w:val="000000"/>
          <w:position w:val="0"/>
        </w:rPr>
        <w:t xml:space="preserve"> </w:t>
      </w:r>
      <w:r>
        <w:rPr>
          <w:rStyle w:val="CharStyle18"/>
        </w:rPr>
        <w:t>описании объекта закупки заказчиком».</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участникам закупки при указании качественных, технических, функциональных характеристик, требовалось их воспроизвести в первой части заявки по каждой позиции, указанной в разделе «Наименование, описание объекта закупки и объема работ (услуг)»</w:t>
      </w:r>
    </w:p>
    <w:p>
      <w:pPr>
        <w:pStyle w:val="Style16"/>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(раздел 21 документации).</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w:t>
      </w:r>
      <w:r>
        <w:rPr>
          <w:rStyle w:val="CharStyle19"/>
        </w:rPr>
        <w:t xml:space="preserve">на соответствие требованиям, установленным документацией </w:t>
      </w:r>
      <w:r>
        <w:rPr>
          <w:lang w:val="ru-RU" w:eastAsia="ru-RU" w:bidi="ru-RU"/>
          <w:w w:val="100"/>
          <w:spacing w:val="0"/>
          <w:color w:val="000000"/>
          <w:position w:val="0"/>
        </w:rPr>
        <w:t>о таком аукционе в отношении закупаемых товаров, работ, услуг.</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Законодательство о контрактной системе не наделяет и не дает права членам аукционной комиссии давать оценку установленным заказчиком требованиям на их объективность, обоснованность, совместимость, взаимозаменяемость, то есть комиссия фактически сравнивает показатели, содержащиеся в заявке участника закупки, с требованиями, установленными в аукционной документации.</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пунктом 2 части 4 статьи 67 Закона о контрактной системе участник электронного аукциона не допускается к участию в нем в случае несоответствия информации, предусмотренной частью 3 статьи 66 Закона о контрактной системе, требованиям документации о таком аукционе.</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Поскольку, предложенный в заявке ООО «Русробот» товар не соответствует требованиям документации о закупке (по всем позициям участником закупки упущено указание на функциональные характеристики товара), Комиссия считает действия аукционной комиссии уполномоченного учреждения по отклонению заявки правомерными.</w:t>
      </w:r>
    </w:p>
    <w:p>
      <w:pPr>
        <w:pStyle w:val="Style16"/>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Жалоба на положения аукционной документации (инструкцию по заполнению заявки) Комиссией не рассматривается, поскольку в силу части 4 статьи 105 Закона о контрактной системе жалоба на положения аукционной документации может быть подана участником закупки до окончания срока подачи заявок на участие в таком аукционе (то есть до 07.12.2020), по истечении указанного срока - только в судебном порядке.</w:t>
      </w:r>
    </w:p>
    <w:p>
      <w:pPr>
        <w:pStyle w:val="Style16"/>
        <w:widowControl w:val="0"/>
        <w:keepNext w:val="0"/>
        <w:keepLines w:val="0"/>
        <w:shd w:val="clear" w:color="auto" w:fill="auto"/>
        <w:bidi w:val="0"/>
        <w:spacing w:before="0" w:after="275" w:line="274" w:lineRule="exact"/>
        <w:ind w:left="20" w:right="20" w:firstLine="720"/>
      </w:pPr>
      <w:r>
        <w:rPr>
          <w:lang w:val="ru-RU" w:eastAsia="ru-RU" w:bidi="ru-RU"/>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пунктом 2 части 22 статьи 99, Закона о контрактной системе, административным регламентом (утв. приказом ФАС России от 19.11.2014 №727/14) комиссия,</w:t>
      </w:r>
    </w:p>
    <w:p>
      <w:pPr>
        <w:pStyle w:val="Style5"/>
        <w:widowControl w:val="0"/>
        <w:keepNext w:val="0"/>
        <w:keepLines w:val="0"/>
        <w:shd w:val="clear" w:color="auto" w:fill="auto"/>
        <w:bidi w:val="0"/>
        <w:spacing w:before="0" w:after="239" w:line="230" w:lineRule="exact"/>
        <w:ind w:left="0" w:right="0" w:firstLine="0"/>
      </w:pPr>
      <w:r>
        <w:rPr>
          <w:lang w:val="ru-RU" w:eastAsia="ru-RU" w:bidi="ru-RU"/>
          <w:w w:val="100"/>
          <w:spacing w:val="0"/>
          <w:color w:val="000000"/>
          <w:position w:val="0"/>
        </w:rPr>
        <w:t>РЕШИЛА:</w:t>
      </w:r>
    </w:p>
    <w:p>
      <w:pPr>
        <w:pStyle w:val="Style16"/>
        <w:widowControl w:val="0"/>
        <w:keepNext w:val="0"/>
        <w:keepLines w:val="0"/>
        <w:shd w:val="clear" w:color="auto" w:fill="auto"/>
        <w:bidi w:val="0"/>
        <w:jc w:val="left"/>
        <w:spacing w:before="0" w:after="201" w:line="230" w:lineRule="exact"/>
        <w:ind w:left="20" w:right="0" w:firstLine="860"/>
      </w:pPr>
      <w:r>
        <w:rPr>
          <w:lang w:val="ru-RU" w:eastAsia="ru-RU" w:bidi="ru-RU"/>
          <w:w w:val="100"/>
          <w:spacing w:val="0"/>
          <w:color w:val="000000"/>
          <w:position w:val="0"/>
        </w:rPr>
        <w:t>1. Признать жалобу ООО «Русробот» необоснованной.</w:t>
      </w:r>
    </w:p>
    <w:p>
      <w:pPr>
        <w:pStyle w:val="Style16"/>
        <w:widowControl w:val="0"/>
        <w:keepNext w:val="0"/>
        <w:keepLines w:val="0"/>
        <w:shd w:val="clear" w:color="auto" w:fill="auto"/>
        <w:bidi w:val="0"/>
        <w:jc w:val="left"/>
        <w:spacing w:before="0" w:after="0" w:line="277" w:lineRule="exact"/>
        <w:ind w:left="20" w:right="20" w:firstLine="860"/>
        <w:sectPr>
          <w:type w:val="continuous"/>
          <w:pgSz w:w="11906" w:h="16838"/>
          <w:pgMar w:top="1187" w:left="832" w:right="806" w:bottom="593"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Арбитражном суде Забайкальского края в течение трех месяцев в установленном законом порядке.</w:t>
      </w:r>
    </w:p>
    <w:p>
      <w:pPr>
        <w:widowControl w:val="0"/>
        <w:spacing w:line="240" w:lineRule="exact"/>
        <w:rPr>
          <w:sz w:val="19"/>
          <w:szCs w:val="19"/>
        </w:rPr>
      </w:pPr>
    </w:p>
    <w:p>
      <w:pPr>
        <w:widowControl w:val="0"/>
        <w:spacing w:before="97" w:after="9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656" w:line="230" w:lineRule="exact"/>
        <w:ind w:left="0" w:right="0" w:firstLine="0"/>
      </w:pPr>
      <w:r>
        <w:rPr>
          <w:lang w:val="ru-RU" w:eastAsia="ru-RU" w:bidi="ru-RU"/>
          <w:w w:val="100"/>
          <w:spacing w:val="0"/>
          <w:color w:val="000000"/>
          <w:position w:val="0"/>
        </w:rPr>
        <w:t>Заместитель председателя комиссии</w:t>
      </w:r>
    </w:p>
    <w:p>
      <w:pPr>
        <w:pStyle w:val="Style16"/>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1816" w:left="842" w:right="7012" w:bottom="23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1.12.%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10.1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20"/>
      <w:numFmt w:val="decimal"/>
      <w:lvlText w:val="27.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Основной текст (4) + 9 pt"/>
    <w:basedOn w:val="CharStyle10"/>
    <w:rPr>
      <w:lang w:val="ru-RU" w:eastAsia="ru-RU" w:bidi="ru-RU"/>
      <w:sz w:val="18"/>
      <w:szCs w:val="18"/>
      <w:w w:val="100"/>
      <w:spacing w:val="0"/>
      <w:color w:val="000000"/>
      <w:position w:val="0"/>
    </w:rPr>
  </w:style>
  <w:style w:type="character" w:customStyle="1" w:styleId="CharStyle12">
    <w:name w:val="Основной текст (4) + 11,5 pt"/>
    <w:basedOn w:val="CharStyle10"/>
    <w:rPr>
      <w:lang w:val="ru-RU" w:eastAsia="ru-RU" w:bidi="ru-RU"/>
      <w:sz w:val="23"/>
      <w:szCs w:val="23"/>
      <w:w w:val="100"/>
      <w:spacing w:val="0"/>
      <w:color w:val="000000"/>
      <w:position w:val="0"/>
    </w:rPr>
  </w:style>
  <w:style w:type="character" w:customStyle="1" w:styleId="CharStyle14">
    <w:name w:val="Основной текст (5)_"/>
    <w:basedOn w:val="DefaultParagraphFont"/>
    <w:link w:val="Style13"/>
    <w:rPr>
      <w:b/>
      <w:bCs/>
      <w:i w:val="0"/>
      <w:iCs w:val="0"/>
      <w:u w:val="none"/>
      <w:strike w:val="0"/>
      <w:smallCaps w:val="0"/>
      <w:sz w:val="21"/>
      <w:szCs w:val="21"/>
      <w:rFonts w:ascii="Times New Roman" w:eastAsia="Times New Roman" w:hAnsi="Times New Roman" w:cs="Times New Roman"/>
    </w:rPr>
  </w:style>
  <w:style w:type="character" w:customStyle="1" w:styleId="CharStyle15">
    <w:name w:val="Основной текст (3)"/>
    <w:basedOn w:val="CharStyle8"/>
    <w:rPr>
      <w:lang w:val="en-US" w:eastAsia="en-US" w:bidi="en-US"/>
      <w:u w:val="single"/>
      <w:w w:val="100"/>
      <w:spacing w:val="0"/>
      <w:color w:val="000000"/>
      <w:position w:val="0"/>
    </w:rPr>
  </w:style>
  <w:style w:type="character" w:customStyle="1" w:styleId="CharStyle17">
    <w:name w:val="Основной текст (6)_"/>
    <w:basedOn w:val="DefaultParagraphFont"/>
    <w:link w:val="Style16"/>
    <w:rPr>
      <w:b w:val="0"/>
      <w:bCs w:val="0"/>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6)"/>
    <w:basedOn w:val="CharStyle17"/>
    <w:rPr>
      <w:lang w:val="ru-RU" w:eastAsia="ru-RU" w:bidi="ru-RU"/>
      <w:u w:val="single"/>
      <w:w w:val="100"/>
      <w:spacing w:val="0"/>
      <w:color w:val="000000"/>
      <w:position w:val="0"/>
    </w:rPr>
  </w:style>
  <w:style w:type="character" w:customStyle="1" w:styleId="CharStyle19">
    <w:name w:val="Основной текст (6) + Полужирный"/>
    <w:basedOn w:val="CharStyle17"/>
    <w:rPr>
      <w:lang w:val="ru-RU" w:eastAsia="ru-RU" w:bidi="ru-RU"/>
      <w:b/>
      <w:bCs/>
      <w:w w:val="100"/>
      <w:spacing w:val="0"/>
      <w:color w:val="000000"/>
      <w:position w:val="0"/>
    </w:rPr>
  </w:style>
  <w:style w:type="character" w:customStyle="1" w:styleId="CharStyle21">
    <w:name w:val="Основной текст_"/>
    <w:basedOn w:val="DefaultParagraphFont"/>
    <w:link w:val="Style20"/>
    <w:rPr>
      <w:b w:val="0"/>
      <w:bCs w:val="0"/>
      <w:i/>
      <w:iCs/>
      <w:u w:val="none"/>
      <w:strike w:val="0"/>
      <w:smallCaps w:val="0"/>
      <w:sz w:val="22"/>
      <w:szCs w:val="22"/>
      <w:rFonts w:ascii="Times New Roman" w:eastAsia="Times New Roman" w:hAnsi="Times New Roman" w:cs="Times New Roman"/>
    </w:rPr>
  </w:style>
  <w:style w:type="character" w:customStyle="1" w:styleId="CharStyle22">
    <w:name w:val="Основной текст + Полужирный"/>
    <w:basedOn w:val="CharStyle21"/>
    <w:rPr>
      <w:lang w:val="ru-RU" w:eastAsia="ru-RU" w:bidi="ru-RU"/>
      <w:b/>
      <w:bCs/>
      <w:w w:val="100"/>
      <w:spacing w:val="0"/>
      <w:color w:val="000000"/>
      <w:position w:val="0"/>
    </w:rPr>
  </w:style>
  <w:style w:type="character" w:customStyle="1" w:styleId="CharStyle23">
    <w:name w:val="Основной текст + 4 pt,Не курсив"/>
    <w:basedOn w:val="CharStyle21"/>
    <w:rPr>
      <w:lang w:val="ru-RU" w:eastAsia="ru-RU" w:bidi="ru-RU"/>
      <w:i/>
      <w:iCs/>
      <w:sz w:val="8"/>
      <w:szCs w:val="8"/>
      <w:w w:val="100"/>
      <w:spacing w:val="0"/>
      <w:color w:val="000000"/>
      <w:position w:val="0"/>
    </w:rPr>
  </w:style>
  <w:style w:type="character" w:customStyle="1" w:styleId="CharStyle24">
    <w:name w:val="Основной текст + Не курсив"/>
    <w:basedOn w:val="CharStyle21"/>
    <w:rPr>
      <w:lang w:val="ru-RU" w:eastAsia="ru-RU" w:bidi="ru-RU"/>
      <w:i/>
      <w:iCs/>
      <w:w w:val="100"/>
      <w:spacing w:val="0"/>
      <w:color w:val="000000"/>
      <w:position w:val="0"/>
    </w:rPr>
  </w:style>
  <w:style w:type="character" w:customStyle="1" w:styleId="CharStyle26">
    <w:name w:val="Основной текст (7)_"/>
    <w:basedOn w:val="DefaultParagraphFont"/>
    <w:link w:val="Style25"/>
    <w:rPr>
      <w:b w:val="0"/>
      <w:bCs w:val="0"/>
      <w:i/>
      <w:iCs/>
      <w:u w:val="none"/>
      <w:strike w:val="0"/>
      <w:smallCaps w:val="0"/>
      <w:sz w:val="20"/>
      <w:szCs w:val="20"/>
      <w:rFonts w:ascii="Times New Roman" w:eastAsia="Times New Roman" w:hAnsi="Times New Roman" w:cs="Times New Roman"/>
    </w:rPr>
  </w:style>
  <w:style w:type="character" w:customStyle="1" w:styleId="CharStyle27">
    <w:name w:val="Основной текст (7) + 4 pt,Не курсив"/>
    <w:basedOn w:val="CharStyle26"/>
    <w:rPr>
      <w:lang w:val="ru-RU" w:eastAsia="ru-RU" w:bidi="ru-RU"/>
      <w:i/>
      <w:iCs/>
      <w:sz w:val="8"/>
      <w:szCs w:val="8"/>
      <w:w w:val="100"/>
      <w:spacing w:val="0"/>
      <w:color w:val="000000"/>
      <w:position w:val="0"/>
    </w:rPr>
  </w:style>
  <w:style w:type="paragraph" w:customStyle="1" w:styleId="Style3">
    <w:name w:val="Заголовок №1"/>
    <w:basedOn w:val="Normal"/>
    <w:link w:val="CharStyle4"/>
    <w:pPr>
      <w:widowControl w:val="0"/>
      <w:shd w:val="clear" w:color="auto" w:fill="FFFFFF"/>
      <w:jc w:val="center"/>
      <w:outlineLvl w:val="0"/>
      <w:spacing w:after="240" w:line="342"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240" w:after="240"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240" w:after="24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before="240" w:line="259"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center"/>
      <w:spacing w:after="6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16">
    <w:name w:val="Основной текст (6)"/>
    <w:basedOn w:val="Normal"/>
    <w:link w:val="CharStyle17"/>
    <w:pPr>
      <w:widowControl w:val="0"/>
      <w:shd w:val="clear" w:color="auto" w:fill="FFFFFF"/>
      <w:jc w:val="both"/>
      <w:spacing w:before="240"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both"/>
      <w:spacing w:line="252" w:lineRule="exact"/>
    </w:pPr>
    <w:rPr>
      <w:b w:val="0"/>
      <w:bCs w:val="0"/>
      <w:i/>
      <w:iCs/>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