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rStyle w:val="CharStyle10"/>
        </w:rPr>
        <w:t>Заявителю: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ООО «Лиана»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312"/>
        <w:ind w:left="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К.Маркса ул., 18, г. Томск, 634009</w:t>
      </w:r>
    </w:p>
    <w:p>
      <w:pPr>
        <w:pStyle w:val="Style3"/>
        <w:tabs>
          <w:tab w:leader="none" w:pos="4927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60" w:right="4580" w:firstLine="920"/>
      </w:pPr>
      <w:r>
        <w:rPr>
          <w:rStyle w:val="CharStyle13"/>
        </w:rPr>
        <w:t>ФЕДЕРАЛЬНАЯ АНТИМОНОПОЛЬНАЯ СЛУЖБА</w:t>
        <w:tab/>
      </w:r>
      <w:r>
        <w:rPr>
          <w:rStyle w:val="CharStyle14"/>
        </w:rPr>
        <w:t>Заказчику:</w:t>
      </w:r>
    </w:p>
    <w:p>
      <w:pPr>
        <w:pStyle w:val="Style6"/>
        <w:tabs>
          <w:tab w:leader="none" w:pos="492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1480" w:right="0" w:firstLine="0"/>
      </w:pPr>
      <w:r>
        <w:rPr>
          <w:rStyle w:val="CharStyle15"/>
        </w:rPr>
        <w:t>УПРАВЛЕНИЕ</w:t>
        <w:tab/>
      </w:r>
      <w:r>
        <w:rPr>
          <w:rStyle w:val="CharStyle16"/>
        </w:rPr>
        <w:t xml:space="preserve">ФКУ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«Главное бюро медико-социальной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313" w:lineRule="exact"/>
        <w:ind w:left="1100" w:right="1260"/>
      </w:pPr>
      <w:r>
        <w:rPr>
          <w:rStyle w:val="CharStyle15"/>
        </w:rPr>
        <w:t xml:space="preserve">Федеральной антимонопольной </w:t>
      </w:r>
      <w:r>
        <w:rPr>
          <w:rStyle w:val="CharStyle17"/>
        </w:rPr>
        <w:t xml:space="preserve">службы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экспертизы по Томской области» </w:t>
      </w:r>
      <w:r>
        <w:rPr>
          <w:rStyle w:val="CharStyle17"/>
        </w:rPr>
        <w:t>но Томской области</w:t>
      </w:r>
    </w:p>
    <w:p>
      <w:pPr>
        <w:pStyle w:val="Style6"/>
        <w:tabs>
          <w:tab w:leader="none" w:pos="492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1100" w:right="0" w:firstLine="0"/>
      </w:pPr>
      <w:r>
        <w:rPr>
          <w:rStyle w:val="CharStyle18"/>
        </w:rPr>
        <w:t xml:space="preserve">ПР. Ленина. </w:t>
      </w:r>
      <w:r>
        <w:rPr>
          <w:rStyle w:val="CharStyle18"/>
          <w:lang w:val="en-US" w:eastAsia="en-US" w:bidi="en-US"/>
        </w:rPr>
        <w:t>111.</w:t>
      </w:r>
      <w:r>
        <w:rPr>
          <w:rStyle w:val="CharStyle18"/>
        </w:rPr>
        <w:t>Г.</w:t>
      </w:r>
      <w:r>
        <w:rPr>
          <w:rStyle w:val="CharStyle19"/>
        </w:rPr>
        <w:t>Томск.</w:t>
      </w:r>
      <w:r>
        <w:rPr>
          <w:rStyle w:val="CharStyle18"/>
        </w:rPr>
        <w:t>634069</w:t>
        <w:tab/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Бердская ул., д. 27, г. Томск, 634009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8"/>
        <w:ind w:left="1340" w:right="7180" w:firstLine="0"/>
      </w:pPr>
      <w:r>
        <w:rPr>
          <w:rStyle w:val="CharStyle22"/>
        </w:rPr>
        <w:t>тел./факс (3822) 51-29-80 р.тпяЛ-</w:t>
      </w:r>
      <w:r>
        <w:rPr>
          <w:rStyle w:val="CharStyle23"/>
          <w:lang w:val="ru-RU" w:eastAsia="ru-RU" w:bidi="ru-RU"/>
        </w:rPr>
        <w:t xml:space="preserve">т70 </w:t>
      </w:r>
      <w:r>
        <w:rPr>
          <w:rStyle w:val="CharStyle24"/>
        </w:rPr>
        <w:t>а</w:t>
      </w:r>
      <w:r>
        <w:rPr>
          <w:rStyle w:val="CharStyle23"/>
          <w:lang w:val="ru-RU" w:eastAsia="ru-RU" w:bidi="ru-RU"/>
        </w:rPr>
        <w:t xml:space="preserve"> </w:t>
      </w:r>
      <w:r>
        <w:rPr>
          <w:rStyle w:val="CharStyle23"/>
        </w:rPr>
        <w:t>fas.gov.ru</w:t>
      </w:r>
    </w:p>
    <w:p>
      <w:pPr>
        <w:pStyle w:val="Style3"/>
        <w:framePr w:h="189" w:wrap="around" w:vAnchor="text" w:hAnchor="margin" w:x="2384" w:y="684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rStyle w:val="CharStyle5"/>
          <w:spacing w:val="0"/>
        </w:rPr>
        <w:t>от</w:t>
      </w:r>
    </w:p>
    <w:p>
      <w:pPr>
        <w:pStyle w:val="Style25"/>
        <w:widowControl w:val="0"/>
        <w:keepNext/>
        <w:keepLines/>
        <w:shd w:val="clear" w:color="auto" w:fill="auto"/>
        <w:bidi w:val="0"/>
        <w:jc w:val="left"/>
        <w:spacing w:before="0" w:after="271" w:line="420" w:lineRule="exact"/>
        <w:ind w:left="380" w:right="0" w:firstLine="0"/>
      </w:pPr>
      <w:bookmarkStart w:id="0" w:name="bookmark0"/>
      <w:r>
        <w:rPr>
          <w:rStyle w:val="CharStyle27"/>
          <w:b/>
          <w:bCs/>
          <w:i/>
          <w:iCs/>
        </w:rPr>
        <w:t xml:space="preserve">/S </w:t>
      </w:r>
      <w:r>
        <w:rPr>
          <w:rStyle w:val="CharStyle28"/>
          <w:b/>
          <w:bCs/>
          <w:i/>
          <w:iCs/>
        </w:rPr>
        <w:t>LL</w:t>
      </w:r>
      <w:r>
        <w:rPr>
          <w:rStyle w:val="CharStyle27"/>
          <w:b/>
          <w:bCs/>
          <w:i/>
          <w:iCs/>
        </w:rPr>
        <w:t xml:space="preserve"> </w:t>
      </w:r>
      <w:r>
        <w:rPr>
          <w:rStyle w:val="CharStyle27"/>
          <w:lang w:val="ru-RU" w:eastAsia="ru-RU" w:bidi="ru-RU"/>
          <w:b/>
          <w:bCs/>
          <w:i/>
          <w:iCs/>
        </w:rPr>
        <w:t>2Ш1</w:t>
      </w:r>
      <w:r>
        <w:rPr>
          <w:rStyle w:val="CharStyle29"/>
          <w:b w:val="0"/>
          <w:bCs w:val="0"/>
          <w:i w:val="0"/>
          <w:iCs w:val="0"/>
        </w:rPr>
        <w:t xml:space="preserve"> </w:t>
      </w:r>
      <w:r>
        <w:rPr>
          <w:rStyle w:val="CharStyle30"/>
          <w:b w:val="0"/>
          <w:bCs w:val="0"/>
          <w:i w:val="0"/>
          <w:iCs w:val="0"/>
        </w:rPr>
        <w:t>*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131" w:line="200" w:lineRule="exact"/>
        <w:ind w:left="100" w:right="0" w:firstLine="0"/>
      </w:pPr>
      <w:r>
        <w:rPr>
          <w:rStyle w:val="CharStyle31"/>
        </w:rPr>
        <w:t>На Х°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center"/>
        <w:spacing w:before="0" w:after="237"/>
        <w:ind w:left="0" w:right="6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РЕШЕНИЕ по делу 03-10/212-17</w:t>
      </w:r>
    </w:p>
    <w:p>
      <w:pPr>
        <w:pStyle w:val="Style6"/>
        <w:framePr w:h="233" w:wrap="around" w:vAnchor="text" w:hAnchor="margin" w:x="9455" w:y="32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7"/>
          <w:spacing w:val="10"/>
        </w:rPr>
        <w:t>г. Томск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46" w:line="324" w:lineRule="exact"/>
        <w:ind w:left="100" w:right="126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Резолютивная часть оглашена 10.11.2017 В полном объёме изготовлено 15.11.2017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00" w:right="20" w:firstLine="58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Комиссия Управления Федеральной антимонопольной службы по Томской области по контролю в сфере закупок (далее - Комиссия Томского УФАС России) в составе:</w:t>
      </w:r>
    </w:p>
    <w:p>
      <w:pPr>
        <w:pStyle w:val="Style6"/>
        <w:framePr w:w="2200" w:h="1593" w:vSpace="72" w:wrap="around" w:vAnchor="text" w:hAnchor="margin" w:x="192" w:y="264"/>
        <w:widowControl w:val="0"/>
        <w:keepNext w:val="0"/>
        <w:keepLines w:val="0"/>
        <w:shd w:val="clear" w:color="auto" w:fill="auto"/>
        <w:bidi w:val="0"/>
        <w:jc w:val="left"/>
        <w:spacing w:before="0" w:after="14" w:line="230" w:lineRule="exact"/>
        <w:ind w:left="20" w:right="0" w:firstLine="0"/>
      </w:pPr>
      <w:r>
        <w:rPr>
          <w:rStyle w:val="CharStyle7"/>
          <w:spacing w:val="10"/>
        </w:rPr>
        <w:t>Алиева Р.А.,</w:t>
      </w:r>
    </w:p>
    <w:p>
      <w:pPr>
        <w:pStyle w:val="Style6"/>
        <w:framePr w:w="2200" w:h="1593" w:vSpace="72" w:wrap="around" w:vAnchor="text" w:hAnchor="margin" w:x="192" w:y="264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0" w:right="100" w:firstLine="0"/>
      </w:pPr>
      <w:r>
        <w:rPr>
          <w:rStyle w:val="CharStyle7"/>
          <w:spacing w:val="10"/>
        </w:rPr>
        <w:t>членов комиссии: Лосева В.Г., Саналовой О.В., Насоновой В.К.,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0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председателя комиссии: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376" w:line="240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заместителя руководителя-начальника отдела контроля закупок;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240" w:line="317" w:lineRule="exact"/>
        <w:ind w:left="10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заместителя начальника отдела контроля закупок; главного специалиста-эксперта отдела контроля закупок; специалиста-эксперта отдела контроля закупок,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0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при участии представителей: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10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- заказчика ФКУ «Главное бюро медико-социальной экспертизы по Томской области» Андреева В.А. (доверенность №79/2017 от 08.1 1.2017), заказчика и Единой комиссии по осуществлению закупок Сидельниковой Е.Ю. (доверенность №49/2017 от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0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№77 от 07.11.2017), Каштановой О.В. (доверенность №68/2017 от</w:t>
      </w:r>
    </w:p>
    <w:p>
      <w:pPr>
        <w:pStyle w:val="Style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0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№1 от 24.04.2017),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0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-заявителя - ООО «Лиана» Седельникова Е.Б. (решение №1 от 29.12.2014), рассмотрев дело №03-10/212-17, возбужденное по жалобе ООО «Лиана» на действия заказчика и комиссии ФКУ «Главное бюро медико-социальной экспертизы по Томской области» (далее-заказчик и комиссия) при проведении электронного аукциона: Выполнение работ по монтажу аудио, видео, звукового оборудования в конференц-зал ФКУ «ГБ МСЭ по Томской области» (извещение №0365100007217000075),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center"/>
        <w:spacing w:before="0" w:after="693" w:line="240" w:lineRule="exact"/>
        <w:ind w:left="0" w:right="60" w:firstLine="0"/>
      </w:pPr>
      <w:r>
        <w:rPr>
          <w:rStyle w:val="CharStyle32"/>
        </w:rPr>
        <w:t>УСТАНОВИЛА: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0" w:line="320" w:lineRule="exact"/>
        <w:ind w:left="0" w:right="180" w:firstLine="0"/>
      </w:pPr>
      <w:bookmarkStart w:id="1" w:name="bookmark1"/>
      <w:r>
        <w:rPr>
          <w:lang w:val="ru-RU" w:eastAsia="ru-RU" w:bidi="ru-RU"/>
          <w:w w:val="100"/>
          <w:color w:val="000000"/>
          <w:position w:val="0"/>
        </w:rPr>
        <w:t>006675</w:t>
      </w:r>
      <w:bookmarkEnd w:id="1"/>
      <w:r>
        <w:br w:type="page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6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Томское У ФАС России обратилось ООО «Лиана» (далее - заявитель) (вх.№6931 от 02Л 1.2017) с жалобой, поданной в срок и соответствующей ст. 105 Федерального закона № 44-ФЗ от 05.04.2013 «О контрактной системе в сфере закупок товаров, работ, услуг для государственных и муниципальных нужд» (далее - Закон 44-ФЗ), на действия, аукционной комиссии и заказчика при проведении электронного аукциона: Выполнение работ по монтажу аудио, видео, звукового оборудования в конференц-зал ФКУ «ГБ МСЭ по Томской области» (извещение №0365100007217000075) (далее — электронный аукцион).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56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По мнению заявителя:</w:t>
      </w:r>
    </w:p>
    <w:p>
      <w:pPr>
        <w:pStyle w:val="Style6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56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комиссия неправомерно отклонила его заявку при рассмотрении вторых частей заявок, в которой были указаны показатели товара соответствующие диапазонам значений указанных заказчиком в техническом задании.</w:t>
      </w:r>
    </w:p>
    <w:p>
      <w:pPr>
        <w:pStyle w:val="Style6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56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заказчик в нарушение ч.11 ст.31 Закона 44-ФЗ не направил заявителю протокол об отказе от заключения контракта- в Техническом задании некорректные требования к товару (встраиваемому экрану с электроприводом), поставку которого, не нарушив требования документации, осуществить не представляется возможным.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56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Заявитель просит: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56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-отменить решение комиссии по осуществлению закупок протокол подведения итогов аукциона от 26.10.2017 извещение №0365100007217000075-3;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56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-приостановить определения поставщика до рассмотрения жалобы по существу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56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Представители заказчика и аукционной комиссии, не согласились с доводами заявителя и сообщили, что при проведении аукциона заказчик и аукционная комиссия действовали в соответствии с положениями Закона 44-ФЗ.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56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результате рассмотрения жалобы и осуществления в соответствии с ч.15 ст.99 Закона 44-ФЗ внеплановой проверки Комиссия Томского УФАС России установила следующее:</w:t>
      </w:r>
    </w:p>
    <w:p>
      <w:pPr>
        <w:pStyle w:val="Style6"/>
        <w:numPr>
          <w:ilvl w:val="0"/>
          <w:numId w:val="7"/>
        </w:numPr>
        <w:tabs>
          <w:tab w:leader="none" w:pos="136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6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извещение и аукционная документация о проведении Аукциона размещено в Единой информационной системе в сфере закупок (далее-ЕИС) - 29.09.2017;</w:t>
      </w:r>
    </w:p>
    <w:p>
      <w:pPr>
        <w:pStyle w:val="Style6"/>
        <w:numPr>
          <w:ilvl w:val="0"/>
          <w:numId w:val="7"/>
        </w:numPr>
        <w:tabs>
          <w:tab w:leader="none" w:pos="136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56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начальная (максимальная) цена контракта - 949 320,70 рубля;</w:t>
      </w:r>
    </w:p>
    <w:p>
      <w:pPr>
        <w:pStyle w:val="Style6"/>
        <w:numPr>
          <w:ilvl w:val="0"/>
          <w:numId w:val="7"/>
        </w:numPr>
        <w:tabs>
          <w:tab w:leader="none" w:pos="136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56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заказчик - Федеральное казенное учреждение «Главное бюро медико</w:t>
        <w:softHyphen/>
        <w:t>социальной экспертизы по Томской области»;</w:t>
      </w:r>
    </w:p>
    <w:p>
      <w:pPr>
        <w:pStyle w:val="Style6"/>
        <w:numPr>
          <w:ilvl w:val="0"/>
          <w:numId w:val="7"/>
        </w:numPr>
        <w:tabs>
          <w:tab w:leader="none" w:pos="136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56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предмет закупки: Выполнение работ по монтажу аудио, видео, звукового оборудования в конференц-зал ФКУ «ГБ МСЭ по Томской области» (извещение №0365100007217000075);</w:t>
      </w:r>
    </w:p>
    <w:p>
      <w:pPr>
        <w:pStyle w:val="Style6"/>
        <w:numPr>
          <w:ilvl w:val="0"/>
          <w:numId w:val="7"/>
        </w:numPr>
        <w:tabs>
          <w:tab w:leader="none" w:pos="1367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60" w:right="3980" w:hanging="88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идентификационный код закупки: 171701710853470170100100680013320244;</w:t>
      </w:r>
    </w:p>
    <w:p>
      <w:pPr>
        <w:pStyle w:val="Style6"/>
        <w:numPr>
          <w:ilvl w:val="0"/>
          <w:numId w:val="7"/>
        </w:numPr>
        <w:tabs>
          <w:tab w:leader="none" w:pos="136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56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на участие в электронном аукционе подано 4 заявки;</w:t>
      </w:r>
    </w:p>
    <w:p>
      <w:pPr>
        <w:pStyle w:val="Style6"/>
        <w:numPr>
          <w:ilvl w:val="0"/>
          <w:numId w:val="7"/>
        </w:numPr>
        <w:tabs>
          <w:tab w:leader="none" w:pos="136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56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19.10.2017 аукционной комиссией рассмотрены первые части заявок на участие в электронном аукционе, все участники закупки, подавшие заявки допущены до участия в аукционе;</w:t>
      </w:r>
    </w:p>
    <w:p>
      <w:pPr>
        <w:pStyle w:val="Style6"/>
        <w:numPr>
          <w:ilvl w:val="0"/>
          <w:numId w:val="7"/>
        </w:numPr>
        <w:tabs>
          <w:tab w:leader="none" w:pos="136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56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19.10.2017 заказчиком направлен запрос в компанию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Digis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о наличии экрана для проектора с характеристиками предложенными участником закупки, подавшим заявку №1;</w:t>
      </w:r>
    </w:p>
    <w:p>
      <w:pPr>
        <w:pStyle w:val="Style6"/>
        <w:numPr>
          <w:ilvl w:val="0"/>
          <w:numId w:val="7"/>
        </w:numPr>
        <w:tabs>
          <w:tab w:leader="none" w:pos="136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56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26.10.2017 заказчиком получено информационное письмо от 24.10.2017 о том, что компания ООО «ЦС Импэкс» является владельцем зарегистрированного товарного знака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Digis,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и подтверждает, что производство проекционных экранов с соотношением сторон 16:10 под данным товарным знаком не осуществляется и какие либо складские остатки отсутствуют;</w:t>
      </w:r>
    </w:p>
    <w:p>
      <w:pPr>
        <w:pStyle w:val="Style6"/>
        <w:numPr>
          <w:ilvl w:val="0"/>
          <w:numId w:val="7"/>
        </w:numPr>
        <w:tabs>
          <w:tab w:leader="none" w:pos="2601" w:val="right"/>
          <w:tab w:leader="none" w:pos="2745" w:val="left"/>
          <w:tab w:leader="none" w:pos="136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26.10.2017</w:t>
        <w:tab/>
        <w:t>аукционная комиссия провела процедуру рассмотрения вторых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частей заявок на участие в электронном аукционе и согласно протоколу подведения итогов признала заявку с порядковым №1, на участие в электронном аукционе, поданную ООО «Лиана», не соответствующей требованиям, установленным документацией по проведению электронного аукциона.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обоснование принятого решения аукционная комиссия привела следующие доводы: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«В соответствии с частью 6.1. статьи 66 Федерального закона от 05.04.2013 № 44- ФЗ «О контрактной системе в сфере закупок товаров, работ, услуг для обеспечения государственных и муниципальных нужд» (далее - Закон) в случае установления недостоверности информации, содержащейся в документах, представленных участником электронного аукциона в соответствии с частями 3 и 5 статьи 66 закона статьи, аукционная комиссия обязана отстранить такого участника от участия в электронном аукционе на любом этапе его проведения.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соответствии с техническим заданием аукционной документацией на выполнение работ по монтажу аудио, видео, звукового оборудования в конференц-зал ФКУ «ГБ МСЭ по Томской области» Минтруда России заказчиком были установлены следующие требования к формату (соотношение сторон) экрана для проектора: не менее 16:10.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Участником закупки в заявке на участие в аукционе предложено при выполнении работ использовать экран для проектора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Digis Electra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(Товарный знак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Digis,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страна происхождения Китай) с форматом (соотношение сторон) 16:10.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В соответствии с информационным письмом, полученным заказчиком 26.10.2017 от ООО «Цифровые Системы»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(DiGiS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Группа Компаний), производство проекционных экранов с соотношением сторон 16:10 под товарным знаком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Digis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не осуществляется и какие-либо складские остатки отсутствуют (копия информационного письма прилагается).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Исходя из вышеизложенного, комиссия заказчика делает вывод о недостоверности информации о формате (соотношении сторон) предложенного экрана для проектора, представленной участником закупки в составе первой части заявки на участие в электронном аукционе.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Заявка признана несоответствующей требованиям, установленным в документации по проведению электронного аукциона, на основании части 6.1 статьи 66 Закона в связи с установлением недостоверности информации, содержащейся в документах, представленных участником закупки в соответствии с частью 3 статьи 66 Закона».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Согласно технической документации заказчиком установлено требование к формату (соотношение сторон) экрана для проектора: не менее 16:10.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Участник закупки ООО «Лиана», заявке на участие в аукционе которого присвоен №1, предложил при выполнении работ использовать экран для проектора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Digis Electra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(Товарный знак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Digis,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страна происхождения Китай) с форматом (соотношение сторон) 16:10.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Порядок рассмотрения вторых частей заявок на участие в электронном аукционе установлен ст.69 Закона 44-ФЗ.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соответствии ч.б ст. 69 Закона 44-ФЗ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>
      <w:pPr>
        <w:pStyle w:val="Style6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непредставления документов и информации, которые предусмотрены пунктами 1, 3 - 5, 7 и 8 ч. 2 ст.62, ч.З и 5 ст.66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>
      <w:pPr>
        <w:pStyle w:val="Style6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несоответствия участника такого аукциона требованиям, установленным в соответствии с ч. 1, ч.ч. 1.1, 2 и 2.1 (при наличии таких требований) ст. 31 настоящего Федерального закона.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силу ч.7 ст. 69 Закона 44-ФЗ 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ч. 6 настоящей статьи, не допускается.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Таким образом, заявка с порядковым №1 на участие в электронном аукционе, поданная ООО «Лиана» не отклонена комиссией, а в нарушение ч.7 ст.69 Закона 44- ФЗ признана комиссией не соответствующей требованиям, установленным документацией по проведению электронного аукциона по основаниям, не предусмотренным ч. 6 ст. 69 Закона 44-ФЗ.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силу ч. 6.1 ст.66 Закона 44-ФЗ в случае установления недостоверности информации, содержащейся в документах, представленных участником электронного аукциона в соответствии с частями 3 и 5 настоящей статьи, аукционная комиссия обязана отстранить такого участника от участия в электронном аукционе на любом этапе его проведения.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Установить недостоверность информации, содержащейся в документах, представленных участником электронного аукциона возможно только при наличии объективных доказательств.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Согласно, ч.1 ст.6 Федерального закона от 06.04.2011 №63-Ф3 «Об электронной подписи»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и может применяться в любых правоотношениях в соответствии с законодательством Российской Федерации,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Информационное письмо ООО «Цифровые Системы»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(DiGiS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Группа Компаний) от 24.10.2017 на которое ссылается аукционная комиссия предоставленное заказчиком, согласно которому производство проекционных экранов с соотношением сторон 16:10 под товарным знаком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Digis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не осуществляется и какие-либо складские остатки отсутствуют, направленное по электронной почте, не подписано квалифицированной электронной подписью уполномоченного лица ООО «Цифровые Системы», в связи, с чем не может быть признано документом и оцениваться как объективное доказательство устанавливающее недостоверность информации предоставленной ООО «Лиана». При таких обстоятельствах у аукционной комиссии небыло оснований для отклонения участника.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Довод заявителя о нарушении заказчиком ч.Н ст.31 Закона 44-ФЗ в ходе рассмотрения жалобы подтверждения не нашёл т.к. заявитель не является победителем аукциона, и протокол об отказе от заключения контракта заказчиком не составлялся.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2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соответствии с ч.4 ст. 105 Закона 44-ФЗ жалоба на положения документации о закупке может быть подана любым участником закупки, общественным объединением, объединением юридических лиц до окончания установленного срока подачи заявок. По истечении указанного срока обжалование соответствующих действий осуществляется только в судебном порядке.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2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соответствии с извещением о проведении аукциона, датой и временем окончания срока подачи заявок на участие в аукционе является 09.10.2017 10:00.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2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Вместе с тем, жалоба на положения документации об аукционе направлена Заявителем в ФАС России 02.11.2017.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2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Таким образом, Заявитель подал жалобу одним из доводов которой является обжалование положений документации об аукционе по истечении срока, установленного ч.4 ст. 105 Закона 44-ФЗ.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2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На основании изложенного, довод на положения документации об Аукционе рассмотрению Комиссией не подлежит.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2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Проведя внеплановую проверку, проверив иные действия аукционной комиссии, положения документации об электронном аукционе, в том числе, действия заказчика по установлению требований в документации об электронном аукционе, Комиссия Томского УФАС России выявила, нарушения: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2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1) части 1 ст.ЗЗ Закона 44-ФЗ в части необъективного описание объекта закупки, а именно заказчик при описании поставляемого товара в техническом задании в разделе №2 в части функциональных и технических характеристик для экрана- проектора в частности формата экрана не указывает, того, что требуемое соотношение сторон должно учитывать, размеры каймы и чёрной полосы экрана, что привело к разночтению положений аукционной документации участником закупки и аукционной комиссией.</w:t>
      </w:r>
    </w:p>
    <w:p>
      <w:pPr>
        <w:pStyle w:val="Style6"/>
        <w:tabs>
          <w:tab w:leader="none" w:pos="9130" w:val="right"/>
          <w:tab w:leader="none" w:pos="9990" w:val="right"/>
          <w:tab w:leader="none" w:pos="1046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Кроме того Заказчик, декларируя предмет закупки:</w:t>
        <w:tab/>
        <w:t>Выполнение</w:t>
        <w:tab/>
        <w:t>работ</w:t>
        <w:tab/>
        <w:t>по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монтажу аудио, видео, звукового оборудования в конференц-зал ФКУ «ГБ МСЭ по Томской области», подразумевающий, именно выполнение работ (оказание услуг) по монтажу имеющегося у заказчика оборудования в действительности не имеет в наличии вышеуказанного оборудования.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Согласно, техническому заданию поставка предназначенного для монтажа аудио, видео, звукового оборудования в соответствии с характеристиками установленными заказчиком возложена на подрядчика.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Статьей 506 Гражданского кодекса Российской Федерации (далее - ГК РФ) установлено, что по договору поставки поставщик-продавец, осуществляющий предпринимательскую деятельность, обязуется передать в обусловленный срок или сроки производимые или закупаемые им товары покупателю для использования в предпринимательской деятельности или в иных целях, не связанных с личным, семейным, домашним и иным подобным использованием.</w:t>
      </w:r>
    </w:p>
    <w:p>
      <w:pPr>
        <w:pStyle w:val="Style6"/>
        <w:tabs>
          <w:tab w:leader="none" w:pos="3611" w:val="left"/>
          <w:tab w:leader="none" w:pos="424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Пунктом 1 ст.509,</w:t>
        <w:tab/>
        <w:t>п.1</w:t>
        <w:tab/>
        <w:t>ст.510 ГК РФ закреплено, поставка товаров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осуществляется поставщиком путем отгрузки (передачи) товаров покупателю, являющемуся стороной договора поставки, или лицу, указанному в договоре в качестве получателя. При этом, доставка товаров осуществляется поставщиком путем отгрузки их транспортом, предусмотренным договором поставки, и на определенных в договоре условиях.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Таким образом, предметом договора поставки является передача покупателю товара, предназначенного для использования в целях, определенных ст.506 ГК РФ. Договор поставки может предусматривать условие о доставке товара покупателю.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67" w:lineRule="exact"/>
        <w:ind w:left="40" w:right="20" w:firstLine="7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Согласно разделу 1 Технического задания электронного аукциона Оборудование, поставляемое Подрядчиком Заказчику, должно соответствовать техническим характеристикам, указанным в Разделе 2 Технического задания.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67" w:lineRule="exact"/>
        <w:ind w:left="40" w:right="0" w:firstLine="7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Согласно разделу 3 п.2 Технического задания электронного аукциона: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67" w:lineRule="exact"/>
        <w:ind w:left="40" w:right="0" w:firstLine="7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Подрядчик обязан поставить оборудование надлежащего качества.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67" w:lineRule="exact"/>
        <w:ind w:left="40" w:right="20" w:firstLine="7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Поставляемые товары должны являться новыми (ранее не находившимися в использовании у Подрядчика и (или) у третьих лиц), не должны находиться в залоге, под арестом или под иным обременением.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67" w:lineRule="exact"/>
        <w:ind w:left="40" w:right="20" w:firstLine="7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Обязательным условием поставки оборудования является наличие сертификатов соответствия или заверенных должным образом их копий, которые предоставляются Заказчику при поставке товара. Качество товара при поставке должно подтверждаться сертификатом соответствия.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67" w:lineRule="exact"/>
        <w:ind w:left="40" w:right="20" w:firstLine="7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Поставляемый товар должен соответствовать обязательным требованиям к его качеству и безопасности, предусмотренным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67" w:lineRule="exact"/>
        <w:ind w:left="40" w:right="20" w:firstLine="7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Поставляемый товар должен быть безопасным для жизни, здоровья людей, имущества Заказчика и окружающей среды при обычных условиях его эксплуатации, хранения и транспортировки в соответствии с Законами Российской Федерации от 07.02.1992 №2300-1 "О защите прав потребителей" и от 30.03.1999 №52-ФЗ «О санитарно-эпидемиологическом благополучии населения».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20" w:firstLine="7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Поставляемое оборудование, подлежащее обязательной сертификации, должно иметь сертификат соответствия и знак соответствия, выданные уполномоченным органом: - Постановление Правительства Российской Федерации от 01.12.2009 г. №982 "Об утверждении единого перечня продукции, подлежащих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соответствии".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20" w:firstLine="7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Таким образом, предметом рассматриваемой закупки является комплексный объект закупки - поставка и оказание услуг.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20" w:firstLine="56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Следовательно, заказчик, в нарушение ч.1 ст.ЗЗ Закона 44-ФЗ необъективно описывая предмет закупки как Выполнение работ по монтажу аудио, видео, звукового оборудования в конференц-зал ФКУ «ГБ МСЭ по Томской области», подразумевающий, именно выполнение работ (оказание услуг), а фактически осуществляя комплексную закупку включающую в себя поставку оборудования и выполнение работ по его монтажу не размещает в ЕИС полную и достоверную информацию о проводимом электронном аукционе чем нарушает положения ч. 3 ст.7 Закона 44-ФЗ.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40" w:right="20" w:firstLine="56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На основании изложенного, руководствуясь ст. ст.7,33, 69, ч.15 ст.99, ст. 106, Закона 44-ФЗ, Комиссия Томского УФАС России,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313" w:lineRule="exact"/>
        <w:ind w:left="438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РЕШИЛА:</w:t>
      </w:r>
    </w:p>
    <w:p>
      <w:pPr>
        <w:pStyle w:val="Style6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4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Признать жалобу ООО «Лиана» на действия, комиссии при проведении электронного аукциона: Выполнение работ по монтажу аудио, видео, звукового оборудования в конференц-зал ФКУ «ГБ МСЭ по Томской области» (извещение №0365100007217000075) обоснованной.</w:t>
      </w:r>
    </w:p>
    <w:p>
      <w:pPr>
        <w:pStyle w:val="Style6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Признать аукционную комиссию заказчика нарушившей ч.7 ст. 69 Закона 44-ФЗ</w:t>
      </w:r>
      <w:r>
        <w:br w:type="page"/>
      </w:r>
    </w:p>
    <w:p>
      <w:pPr>
        <w:pStyle w:val="Style6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28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Признать заказчика нарушившим ч.З ст.7, </w:t>
      </w:r>
      <w:r>
        <w:rPr>
          <w:rStyle w:val="CharStyle35"/>
        </w:rPr>
        <w:t>чЛ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ст.ЗЗ Закона 44-ФЗ</w:t>
      </w:r>
    </w:p>
    <w:p>
      <w:pPr>
        <w:pStyle w:val="Style6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28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Выдать заказчику обязательное для исполнения предписание об устранении нарушения законодательства о контрактной системе в сфере закупок.</w:t>
      </w:r>
    </w:p>
    <w:p>
      <w:pPr>
        <w:pStyle w:val="Style6"/>
        <w:framePr w:h="256" w:hSpace="279" w:vSpace="58" w:wrap="around" w:vAnchor="text" w:hAnchor="margin" w:x="2397" w:y="332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7"/>
          <w:spacing w:val="10"/>
        </w:rPr>
        <w:t>КоАП РФ составлять протоколы</w:t>
      </w:r>
    </w:p>
    <w:p>
      <w:pPr>
        <w:pStyle w:val="Style6"/>
        <w:framePr w:w="2979" w:h="884" w:wrap="notBeside" w:vAnchor="text" w:hAnchor="margin" w:x="5" w:y="1286"/>
        <w:widowControl w:val="0"/>
        <w:keepNext w:val="0"/>
        <w:keepLines w:val="0"/>
        <w:shd w:val="clear" w:color="auto" w:fill="auto"/>
        <w:bidi w:val="0"/>
        <w:jc w:val="left"/>
        <w:spacing w:before="0" w:after="384" w:line="230" w:lineRule="exact"/>
        <w:ind w:left="0" w:right="0" w:firstLine="0"/>
      </w:pPr>
      <w:r>
        <w:rPr>
          <w:rStyle w:val="CharStyle7"/>
          <w:spacing w:val="10"/>
        </w:rPr>
        <w:t>Председатель комиссии:</w:t>
      </w:r>
    </w:p>
    <w:p>
      <w:pPr>
        <w:pStyle w:val="Style6"/>
        <w:framePr w:w="2979" w:h="884" w:wrap="notBeside" w:vAnchor="text" w:hAnchor="margin" w:x="5" w:y="1286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rStyle w:val="CharStyle7"/>
          <w:spacing w:val="10"/>
        </w:rPr>
        <w:t>Члены комиссии:</w:t>
      </w:r>
    </w:p>
    <w:p>
      <w:pPr>
        <w:pStyle w:val="Style6"/>
        <w:numPr>
          <w:ilvl w:val="0"/>
          <w:numId w:val="13"/>
        </w:numPr>
        <w:tabs>
          <w:tab w:leader="none" w:pos="565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13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358" w:left="618" w:right="582" w:bottom="60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Передать материалы дела №03-10/212-17 должностному лицу, уполномоченному, в силу ст.28.3 правонарушениях.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72" w:after="64" w:line="245" w:lineRule="exact"/>
        <w:ind w:left="0" w:right="0" w:firstLine="0"/>
      </w:pPr>
      <w:r>
        <w:rPr>
          <w:rStyle w:val="CharStyle13"/>
        </w:rPr>
        <w:t>ФЕДЕРАЛЬНАЯ АНТИМОНОПОЛЬНАЯ СЛУЖБА</w:t>
      </w:r>
    </w:p>
    <w:p>
      <w:pPr>
        <w:pStyle w:val="Style36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</w:pPr>
      <w:r>
        <w:rPr>
          <w:rStyle w:val="CharStyle38"/>
          <w:b/>
          <w:bCs/>
        </w:rPr>
        <w:t>УПРАВЛЕНИЕ</w:t>
      </w:r>
    </w:p>
    <w:p>
      <w:pPr>
        <w:pStyle w:val="Style39"/>
        <w:widowControl w:val="0"/>
        <w:keepNext w:val="0"/>
        <w:keepLines w:val="0"/>
        <w:shd w:val="clear" w:color="auto" w:fill="auto"/>
        <w:bidi w:val="0"/>
        <w:jc w:val="left"/>
        <w:spacing w:before="0" w:after="375" w:line="180" w:lineRule="exact"/>
        <w:ind w:left="36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 уведомлением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200" w:lineRule="exact"/>
        <w:ind w:left="0" w:right="20" w:firstLine="0"/>
      </w:pPr>
      <w:r>
        <w:rPr>
          <w:rStyle w:val="CharStyle14"/>
        </w:rPr>
        <w:t>Заказчику: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250" w:line="32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ФКУ «Главное бюро медико-социальной экспертизы по Томской области»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029" w:line="240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Бердская ул., д. 27, г. Томск, 634009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148" w:line="170" w:lineRule="exact"/>
        <w:ind w:left="0" w:right="20" w:firstLine="0"/>
      </w:pPr>
      <w:r>
        <w:rPr>
          <w:rStyle w:val="CharStyle41"/>
        </w:rPr>
        <w:t>Оператору электронной площадки: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8" w:line="240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ООО «РТС-тендер»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20" w:firstLine="0"/>
        <w:sectPr>
          <w:pgSz w:w="11906" w:h="16838"/>
          <w:pgMar w:top="321" w:left="971" w:right="917" w:bottom="353" w:header="0" w:footer="3" w:gutter="0"/>
          <w:rtlGutter w:val="0"/>
          <w:cols w:num="2" w:space="720" w:equalWidth="0">
            <w:col w:w="3517" w:space="1242"/>
            <w:col w:w="5260"/>
          </w:cols>
          <w:noEndnote/>
          <w:docGrid w:linePitch="360"/>
        </w:sectPr>
      </w:pPr>
      <w:r>
        <w:fldChar w:fldCharType="begin"/>
      </w:r>
      <w:r>
        <w:rPr>
          <w:rStyle w:val="CharStyle42"/>
        </w:rPr>
        <w:instrText> HYPERLINK "mailto:info@rts-tender.ru" </w:instrText>
      </w:r>
      <w:r>
        <w:fldChar w:fldCharType="separate"/>
      </w:r>
      <w:r>
        <w:rPr>
          <w:rStyle w:val="Hyperlink"/>
        </w:rPr>
        <w:t>info@rts-tender.ru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3" w:after="8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center"/>
        <w:spacing w:before="0" w:after="0"/>
        <w:ind w:left="0" w:right="0" w:firstLine="0"/>
        <w:sectPr>
          <w:type w:val="continuous"/>
          <w:pgSz w:w="11906" w:h="16838"/>
          <w:pgMar w:top="321" w:left="3375" w:right="3051" w:bottom="35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ПРЕДПИСАНИЕ об устранении нарушений в сфере закупок по делу №03-10/212-17</w:t>
      </w:r>
    </w:p>
    <w:p>
      <w:pPr>
        <w:widowControl w:val="0"/>
        <w:spacing w:line="65" w:lineRule="exact"/>
        <w:rPr>
          <w:sz w:val="5"/>
          <w:szCs w:val="5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framePr w:h="233" w:wrap="around" w:hAnchor="margin" w:x="8924" w:y="6654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7"/>
          <w:spacing w:val="10"/>
        </w:rPr>
        <w:t>г. Томск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11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15.11.2017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4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Комиссия Управления Федеральной антимонопольной службы по Томской области по контролю в сфере закупок (далее - Комиссия Томского УФАС России) в составе:</w:t>
      </w:r>
    </w:p>
    <w:p>
      <w:pPr>
        <w:pStyle w:val="Style6"/>
        <w:framePr w:h="236" w:wrap="around" w:vAnchor="text" w:hAnchor="margin" w:x="37" w:y="260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rStyle w:val="CharStyle7"/>
          <w:spacing w:val="10"/>
        </w:rPr>
        <w:t>Алиева Р.А.,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председателя комиссии:</w:t>
      </w:r>
    </w:p>
    <w:p>
      <w:pPr>
        <w:pStyle w:val="Style6"/>
        <w:framePr w:w="2180" w:h="1285" w:wrap="around" w:vAnchor="text" w:hAnchor="margin" w:x="41" w:y="52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100" w:firstLine="0"/>
      </w:pPr>
      <w:r>
        <w:rPr>
          <w:rStyle w:val="CharStyle7"/>
          <w:spacing w:val="10"/>
        </w:rPr>
        <w:t>членов комиссии: Лосева В.Г., Саналовой О.В. Насоновой В.К.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303" w:line="32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заместителя руководителя - начальника отдела контроля закупок;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  <w:sectPr>
          <w:type w:val="continuous"/>
          <w:pgSz w:w="11906" w:h="16838"/>
          <w:pgMar w:top="321" w:left="855" w:right="797" w:bottom="35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заместителя начальника отдела контроля закупок; главного специалиста-эксперта отдела контроля закупок; специалиста-эксперта отдела контроля закупок;</w:t>
      </w:r>
    </w:p>
    <w:p>
      <w:pPr>
        <w:widowControl w:val="0"/>
        <w:spacing w:line="10" w:lineRule="exact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122" w:line="317" w:lineRule="exact"/>
        <w:ind w:left="20" w:right="48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на основании решения от 10.11.2017, принятого по делу №03-10/212-17, возбужденному по жалобе ООО «Лиана» (вх.№6931 от 02.11.2017) на действия, комиссии и заказчика при проведении электронного аукциона: Выполнение работ по монтажу аудио, видео, звукового оборудования в конференц-зал ФКУ «ГБ МСЭ по Томской области» (извещение №0365100007217000075) и руководствуясь п.2 ч.22 ст.99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44-ФЗ),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3520" w:right="0" w:firstLine="0"/>
      </w:pPr>
      <w:r>
        <w:rPr>
          <w:rStyle w:val="CharStyle32"/>
        </w:rPr>
        <w:t>ПРЕДПИСЫВАЕТ:</w:t>
      </w:r>
    </w:p>
    <w:p>
      <w:pPr>
        <w:pStyle w:val="Style6"/>
        <w:numPr>
          <w:ilvl w:val="0"/>
          <w:numId w:val="15"/>
        </w:numPr>
        <w:tabs>
          <w:tab w:leader="none" w:pos="578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0" w:right="28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Заказчику - ФКУ «Главное бюро медико-социальной экспертизы по Томской области», допустившему при проведении электронного аукциона нарушения: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418" w:line="317" w:lineRule="exact"/>
        <w:ind w:left="20" w:right="48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- ч.1 ст.ЗЗ Закона 44-ФЗ и ч.З ст.7 Закона 44-ФЗ в части не размещения в ЕИС, полной и достоверной информации об электронном аукционе и необъективного описания объекта закупки и требуемых характеристик поставляемого товара в срок до 22.11.2017 аннулировать определение поставщика, объявленного извещением о проведении электронного аукциона №0365100007217000075.</w:t>
      </w:r>
    </w:p>
    <w:p>
      <w:pPr>
        <w:pStyle w:val="Style44"/>
        <w:widowControl w:val="0"/>
        <w:keepNext/>
        <w:keepLines/>
        <w:shd w:val="clear" w:color="auto" w:fill="auto"/>
        <w:bidi w:val="0"/>
        <w:jc w:val="left"/>
        <w:spacing w:before="0" w:after="0" w:line="320" w:lineRule="exact"/>
        <w:ind w:left="8420" w:right="0" w:firstLine="0"/>
      </w:pPr>
      <w:bookmarkStart w:id="2" w:name="bookmark2"/>
      <w:r>
        <w:rPr>
          <w:lang w:val="ru-RU" w:eastAsia="ru-RU" w:bidi="ru-RU"/>
          <w:w w:val="100"/>
          <w:color w:val="000000"/>
          <w:position w:val="0"/>
        </w:rPr>
        <w:t>008676</w:t>
      </w:r>
      <w:bookmarkEnd w:id="2"/>
      <w:r>
        <w:br w:type="page"/>
      </w:r>
    </w:p>
    <w:p>
      <w:pPr>
        <w:pStyle w:val="Style6"/>
        <w:numPr>
          <w:ilvl w:val="0"/>
          <w:numId w:val="1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0" w:right="28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В течение трехдневного срока, со дня исполнения настоящего предписания, направить в Томское У ФАС России информацию и копии документов, подтверждающие исполнение настоящего предписания,</w:t>
      </w:r>
    </w:p>
    <w:p>
      <w:pPr>
        <w:pStyle w:val="Style6"/>
        <w:numPr>
          <w:ilvl w:val="0"/>
          <w:numId w:val="1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Оператору электронной площадки: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307" w:line="324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- обеспечить заказчику исполнение настоящего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npd,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писания;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14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Председатель комиссии</w:t>
      </w:r>
    </w:p>
    <w:p>
      <w:pPr>
        <w:pStyle w:val="Style6"/>
        <w:framePr w:h="364" w:wrap="notBeside" w:vAnchor="text" w:hAnchor="margin" w:x="5221" w:y="1286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43"/>
          <w:spacing w:val="-10"/>
        </w:rPr>
        <w:t>IpX</w:t>
      </w:r>
      <w:r>
        <w:rPr>
          <w:rStyle w:val="CharStyle7"/>
          <w:spacing w:val="10"/>
        </w:rPr>
        <w:t>Насонова В.К.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Члены комиссии</w:t>
      </w:r>
    </w:p>
    <w:sectPr>
      <w:type w:val="continuous"/>
      <w:pgSz w:w="11906" w:h="16838"/>
      <w:pgMar w:top="707" w:left="432" w:right="432" w:bottom="739" w:header="0" w:footer="3" w:gutter="400"/>
      <w:rtlGutter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17"/>
      <w:numFmt w:val="decimal"/>
      <w:lvlText w:val="20.04.%1,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abstractNum w:abstractNumId="2">
    <w:multiLevelType w:val="multilevel"/>
    <w:lvl w:ilvl="0">
      <w:start w:val="2017"/>
      <w:numFmt w:val="decimal"/>
      <w:lvlText w:val="18.08.%1,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abstractNum w:abstractNumId="4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abstractNum w:abstractNumId="8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abstractNum w:abstractNumId="1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abstractNum w:abstractNumId="12">
    <w:multiLevelType w:val="multilevel"/>
    <w:lvl w:ilvl="0">
      <w:start w:val="4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abstractNum w:abstractNumId="14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8"/>
    </w:rPr>
  </w:style>
  <w:style w:type="character" w:customStyle="1" w:styleId="CharStyle5">
    <w:name w:val="Основной текст (3) Exact"/>
    <w:basedOn w:val="CharStyle12"/>
    <w:rPr>
      <w:sz w:val="19"/>
      <w:szCs w:val="19"/>
      <w:spacing w:val="8"/>
    </w:rPr>
  </w:style>
  <w:style w:type="character" w:customStyle="1" w:styleId="CharStyle7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1"/>
    </w:rPr>
  </w:style>
  <w:style w:type="character" w:customStyle="1" w:styleId="CharStyle9">
    <w:name w:val="Основной текст (2)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rFonts w:ascii="Calibri" w:eastAsia="Calibri" w:hAnsi="Calibri" w:cs="Calibri"/>
    </w:rPr>
  </w:style>
  <w:style w:type="character" w:customStyle="1" w:styleId="CharStyle10">
    <w:name w:val="Основной текст (2)"/>
    <w:basedOn w:val="CharStyle9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1">
    <w:name w:val="Основной текст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12">
    <w:name w:val="Основной текст (3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3">
    <w:name w:val="Основной текст (3)"/>
    <w:basedOn w:val="CharStyle1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4">
    <w:name w:val="Основной текст (3)"/>
    <w:basedOn w:val="CharStyle12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5">
    <w:name w:val="Основной текст + 9 pt,Полужирный"/>
    <w:basedOn w:val="CharStyle11"/>
    <w:rPr>
      <w:lang w:val="ru-RU" w:eastAsia="ru-RU" w:bidi="ru-RU"/>
      <w:b/>
      <w:bCs/>
      <w:sz w:val="18"/>
      <w:szCs w:val="18"/>
      <w:w w:val="100"/>
      <w:color w:val="000000"/>
      <w:position w:val="0"/>
    </w:rPr>
  </w:style>
  <w:style w:type="character" w:customStyle="1" w:styleId="CharStyle16">
    <w:name w:val="Основной текст + 9 pt,Полужирный"/>
    <w:basedOn w:val="CharStyle11"/>
    <w:rPr>
      <w:lang w:val="ru-RU" w:eastAsia="ru-RU" w:bidi="ru-RU"/>
      <w:b/>
      <w:bCs/>
      <w:sz w:val="18"/>
      <w:szCs w:val="18"/>
      <w:w w:val="100"/>
      <w:color w:val="000000"/>
      <w:position w:val="0"/>
    </w:rPr>
  </w:style>
  <w:style w:type="character" w:customStyle="1" w:styleId="CharStyle17">
    <w:name w:val="Основной текст"/>
    <w:basedOn w:val="CharStyle11"/>
    <w:rPr>
      <w:lang w:val="ru-RU" w:eastAsia="ru-RU" w:bidi="ru-RU"/>
      <w:sz w:val="24"/>
      <w:szCs w:val="24"/>
      <w:w w:val="100"/>
      <w:color w:val="000000"/>
      <w:position w:val="0"/>
    </w:rPr>
  </w:style>
  <w:style w:type="character" w:customStyle="1" w:styleId="CharStyle18">
    <w:name w:val="Основной текст + 8,5 pt,Интервал 0 pt"/>
    <w:basedOn w:val="CharStyle11"/>
    <w:rPr>
      <w:lang w:val="ru-RU" w:eastAsia="ru-RU" w:bidi="ru-RU"/>
      <w:sz w:val="17"/>
      <w:szCs w:val="17"/>
      <w:w w:val="100"/>
      <w:spacing w:val="0"/>
      <w:color w:val="000000"/>
      <w:position w:val="0"/>
    </w:rPr>
  </w:style>
  <w:style w:type="character" w:customStyle="1" w:styleId="CharStyle19">
    <w:name w:val="Основной текст + 8,5 pt,Интервал 0 pt"/>
    <w:basedOn w:val="CharStyle11"/>
    <w:rPr>
      <w:lang w:val="ru-RU" w:eastAsia="ru-RU" w:bidi="ru-RU"/>
      <w:sz w:val="17"/>
      <w:szCs w:val="17"/>
      <w:w w:val="100"/>
      <w:spacing w:val="0"/>
      <w:color w:val="000000"/>
      <w:position w:val="0"/>
    </w:rPr>
  </w:style>
  <w:style w:type="character" w:customStyle="1" w:styleId="CharStyle21">
    <w:name w:val="Основной текст (4)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22">
    <w:name w:val="Основной текст (4)"/>
    <w:basedOn w:val="CharStyle2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3">
    <w:name w:val="Основной текст (4)"/>
    <w:basedOn w:val="CharStyle21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24">
    <w:name w:val="Основной текст (4) + 9 pt,Курсив"/>
    <w:basedOn w:val="CharStyle21"/>
    <w:rPr>
      <w:lang w:val="ru-RU" w:eastAsia="ru-RU" w:bidi="ru-RU"/>
      <w:i/>
      <w:iCs/>
      <w:u w:val="single"/>
      <w:sz w:val="18"/>
      <w:szCs w:val="18"/>
      <w:w w:val="100"/>
      <w:spacing w:val="0"/>
      <w:color w:val="000000"/>
      <w:position w:val="0"/>
    </w:rPr>
  </w:style>
  <w:style w:type="character" w:customStyle="1" w:styleId="CharStyle26">
    <w:name w:val="Заголовок №1_"/>
    <w:basedOn w:val="DefaultParagraphFont"/>
    <w:link w:val="Style25"/>
    <w:rPr>
      <w:lang w:val="en-US" w:eastAsia="en-US" w:bidi="en-US"/>
      <w:b/>
      <w:bCs/>
      <w:i/>
      <w:iCs/>
      <w:u w:val="none"/>
      <w:strike w:val="0"/>
      <w:smallCaps w:val="0"/>
      <w:sz w:val="42"/>
      <w:szCs w:val="42"/>
      <w:rFonts w:ascii="Calibri" w:eastAsia="Calibri" w:hAnsi="Calibri" w:cs="Calibri"/>
      <w:spacing w:val="-20"/>
    </w:rPr>
  </w:style>
  <w:style w:type="character" w:customStyle="1" w:styleId="CharStyle27">
    <w:name w:val="Заголовок №1"/>
    <w:basedOn w:val="CharStyle26"/>
    <w:rPr>
      <w:w w:val="100"/>
      <w:color w:val="000000"/>
      <w:position w:val="0"/>
    </w:rPr>
  </w:style>
  <w:style w:type="character" w:customStyle="1" w:styleId="CharStyle28">
    <w:name w:val="Заголовок №1"/>
    <w:basedOn w:val="CharStyle26"/>
    <w:rPr>
      <w:u w:val="single"/>
      <w:w w:val="100"/>
      <w:color w:val="000000"/>
      <w:position w:val="0"/>
    </w:rPr>
  </w:style>
  <w:style w:type="character" w:customStyle="1" w:styleId="CharStyle29">
    <w:name w:val="Заголовок №1 + 11 pt,Не полужирный,Не курсив,Интервал 0 pt"/>
    <w:basedOn w:val="CharStyle26"/>
    <w:rPr>
      <w:lang w:val="ru-RU" w:eastAsia="ru-RU" w:bidi="ru-RU"/>
      <w:b/>
      <w:bCs/>
      <w:i/>
      <w:iCs/>
      <w:sz w:val="22"/>
      <w:szCs w:val="22"/>
      <w:w w:val="100"/>
      <w:spacing w:val="0"/>
      <w:color w:val="000000"/>
      <w:position w:val="0"/>
    </w:rPr>
  </w:style>
  <w:style w:type="character" w:customStyle="1" w:styleId="CharStyle30">
    <w:name w:val="Заголовок №1 + 11 pt,Не полужирный,Не курсив,Интервал 0 pt"/>
    <w:basedOn w:val="CharStyle26"/>
    <w:rPr>
      <w:lang w:val="ru-RU" w:eastAsia="ru-RU" w:bidi="ru-RU"/>
      <w:b/>
      <w:bCs/>
      <w:i/>
      <w:iCs/>
      <w:sz w:val="22"/>
      <w:szCs w:val="22"/>
      <w:w w:val="100"/>
      <w:spacing w:val="0"/>
      <w:color w:val="000000"/>
      <w:position w:val="0"/>
    </w:rPr>
  </w:style>
  <w:style w:type="character" w:customStyle="1" w:styleId="CharStyle31">
    <w:name w:val="Основной текст (3)"/>
    <w:basedOn w:val="CharStyle1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2">
    <w:name w:val="Основной текст + Интервал 3 pt"/>
    <w:basedOn w:val="CharStyle11"/>
    <w:rPr>
      <w:lang w:val="ru-RU" w:eastAsia="ru-RU" w:bidi="ru-RU"/>
      <w:sz w:val="24"/>
      <w:szCs w:val="24"/>
      <w:w w:val="100"/>
      <w:spacing w:val="70"/>
      <w:color w:val="000000"/>
      <w:position w:val="0"/>
    </w:rPr>
  </w:style>
  <w:style w:type="character" w:customStyle="1" w:styleId="CharStyle34">
    <w:name w:val="Основной текст (5)_"/>
    <w:basedOn w:val="DefaultParagraphFont"/>
    <w:link w:val="Style33"/>
    <w:rPr>
      <w:b w:val="0"/>
      <w:bCs w:val="0"/>
      <w:i w:val="0"/>
      <w:iCs w:val="0"/>
      <w:u w:val="none"/>
      <w:strike w:val="0"/>
      <w:smallCaps w:val="0"/>
      <w:sz w:val="32"/>
      <w:szCs w:val="32"/>
      <w:rFonts w:ascii="Gulim" w:eastAsia="Gulim" w:hAnsi="Gulim" w:cs="Gulim"/>
      <w:spacing w:val="20"/>
    </w:rPr>
  </w:style>
  <w:style w:type="character" w:customStyle="1" w:styleId="CharStyle35">
    <w:name w:val="Основной текст + Курсив,Интервал 0 pt"/>
    <w:basedOn w:val="CharStyle11"/>
    <w:rPr>
      <w:lang w:val="ru-RU" w:eastAsia="ru-RU" w:bidi="ru-RU"/>
      <w:i/>
      <w:iCs/>
      <w:sz w:val="24"/>
      <w:szCs w:val="24"/>
      <w:w w:val="100"/>
      <w:spacing w:val="-10"/>
      <w:color w:val="000000"/>
      <w:position w:val="0"/>
    </w:rPr>
  </w:style>
  <w:style w:type="character" w:customStyle="1" w:styleId="CharStyle37">
    <w:name w:val="Основной текст (6)_"/>
    <w:basedOn w:val="DefaultParagraphFont"/>
    <w:link w:val="Style36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38">
    <w:name w:val="Основной текст (6)"/>
    <w:basedOn w:val="CharStyle3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40">
    <w:name w:val="Основной текст (7)_"/>
    <w:basedOn w:val="DefaultParagraphFont"/>
    <w:link w:val="Style39"/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41">
    <w:name w:val="Основной текст (4)"/>
    <w:basedOn w:val="CharStyle21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42">
    <w:name w:val="Основной текст"/>
    <w:basedOn w:val="CharStyle11"/>
    <w:rPr>
      <w:lang w:val="en-US" w:eastAsia="en-US" w:bidi="en-US"/>
      <w:u w:val="single"/>
      <w:sz w:val="24"/>
      <w:szCs w:val="24"/>
      <w:w w:val="100"/>
      <w:color w:val="000000"/>
      <w:position w:val="0"/>
    </w:rPr>
  </w:style>
  <w:style w:type="character" w:customStyle="1" w:styleId="CharStyle43">
    <w:name w:val="Основной текст + 11 pt,Курсив,Интервал 0 pt Exact"/>
    <w:basedOn w:val="CharStyle11"/>
    <w:rPr>
      <w:lang w:val="en-US" w:eastAsia="en-US" w:bidi="en-US"/>
      <w:i/>
      <w:iCs/>
      <w:sz w:val="22"/>
      <w:szCs w:val="22"/>
      <w:w w:val="100"/>
      <w:spacing w:val="-14"/>
      <w:color w:val="000000"/>
      <w:position w:val="0"/>
    </w:rPr>
  </w:style>
  <w:style w:type="character" w:customStyle="1" w:styleId="CharStyle45">
    <w:name w:val="Заголовок №1 (2)_"/>
    <w:basedOn w:val="DefaultParagraphFont"/>
    <w:link w:val="Style44"/>
    <w:rPr>
      <w:b w:val="0"/>
      <w:bCs w:val="0"/>
      <w:i w:val="0"/>
      <w:iCs w:val="0"/>
      <w:u w:val="none"/>
      <w:strike w:val="0"/>
      <w:smallCaps w:val="0"/>
      <w:sz w:val="32"/>
      <w:szCs w:val="32"/>
      <w:rFonts w:ascii="Gulim" w:eastAsia="Gulim" w:hAnsi="Gulim" w:cs="Gulim"/>
      <w:spacing w:val="20"/>
    </w:rPr>
  </w:style>
  <w:style w:type="paragraph" w:customStyle="1" w:styleId="Style3">
    <w:name w:val="Основной текст (3)"/>
    <w:basedOn w:val="Normal"/>
    <w:link w:val="CharStyle12"/>
    <w:pPr>
      <w:widowControl w:val="0"/>
      <w:shd w:val="clear" w:color="auto" w:fill="FFFFFF"/>
      <w:spacing w:before="240" w:line="23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6">
    <w:name w:val="Основной текст"/>
    <w:basedOn w:val="Normal"/>
    <w:link w:val="CharStyle11"/>
    <w:pPr>
      <w:widowControl w:val="0"/>
      <w:shd w:val="clear" w:color="auto" w:fill="FFFFFF"/>
      <w:jc w:val="right"/>
      <w:spacing w:line="320" w:lineRule="exact"/>
      <w:ind w:hanging="1000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FFFFFF"/>
      <w:jc w:val="right"/>
      <w:spacing w:line="320" w:lineRule="exact"/>
    </w:pPr>
    <w:rPr>
      <w:b w:val="0"/>
      <w:bCs w:val="0"/>
      <w:i w:val="0"/>
      <w:iCs w:val="0"/>
      <w:u w:val="none"/>
      <w:strike w:val="0"/>
      <w:smallCaps w:val="0"/>
      <w:rFonts w:ascii="Calibri" w:eastAsia="Calibri" w:hAnsi="Calibri" w:cs="Calibri"/>
    </w:rPr>
  </w:style>
  <w:style w:type="paragraph" w:customStyle="1" w:styleId="Style20">
    <w:name w:val="Основной текст (4)"/>
    <w:basedOn w:val="Normal"/>
    <w:link w:val="CharStyle21"/>
    <w:pPr>
      <w:widowControl w:val="0"/>
      <w:shd w:val="clear" w:color="auto" w:fill="FFFFFF"/>
      <w:jc w:val="right"/>
      <w:spacing w:after="180" w:line="205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25">
    <w:name w:val="Заголовок №1"/>
    <w:basedOn w:val="Normal"/>
    <w:link w:val="CharStyle26"/>
    <w:pPr>
      <w:widowControl w:val="0"/>
      <w:shd w:val="clear" w:color="auto" w:fill="FFFFFF"/>
      <w:outlineLvl w:val="0"/>
      <w:spacing w:before="180" w:after="360" w:line="0" w:lineRule="exact"/>
    </w:pPr>
    <w:rPr>
      <w:lang w:val="en-US" w:eastAsia="en-US" w:bidi="en-US"/>
      <w:b/>
      <w:bCs/>
      <w:i/>
      <w:iCs/>
      <w:u w:val="none"/>
      <w:strike w:val="0"/>
      <w:smallCaps w:val="0"/>
      <w:sz w:val="42"/>
      <w:szCs w:val="42"/>
      <w:rFonts w:ascii="Calibri" w:eastAsia="Calibri" w:hAnsi="Calibri" w:cs="Calibri"/>
      <w:spacing w:val="-20"/>
    </w:rPr>
  </w:style>
  <w:style w:type="paragraph" w:customStyle="1" w:styleId="Style33">
    <w:name w:val="Основной текст (5)"/>
    <w:basedOn w:val="Normal"/>
    <w:link w:val="CharStyle34"/>
    <w:pPr>
      <w:widowControl w:val="0"/>
      <w:shd w:val="clear" w:color="auto" w:fill="FFFFFF"/>
      <w:jc w:val="right"/>
      <w:spacing w:before="720" w:line="0" w:lineRule="exact"/>
    </w:pPr>
    <w:rPr>
      <w:b w:val="0"/>
      <w:bCs w:val="0"/>
      <w:i w:val="0"/>
      <w:iCs w:val="0"/>
      <w:u w:val="none"/>
      <w:strike w:val="0"/>
      <w:smallCaps w:val="0"/>
      <w:sz w:val="32"/>
      <w:szCs w:val="32"/>
      <w:rFonts w:ascii="Gulim" w:eastAsia="Gulim" w:hAnsi="Gulim" w:cs="Gulim"/>
      <w:spacing w:val="20"/>
    </w:rPr>
  </w:style>
  <w:style w:type="paragraph" w:customStyle="1" w:styleId="Style36">
    <w:name w:val="Основной текст (6)"/>
    <w:basedOn w:val="Normal"/>
    <w:link w:val="CharStyle37"/>
    <w:pPr>
      <w:widowControl w:val="0"/>
      <w:shd w:val="clear" w:color="auto" w:fill="FFFFFF"/>
      <w:jc w:val="center"/>
      <w:spacing w:before="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9">
    <w:name w:val="Основной текст (7)"/>
    <w:basedOn w:val="Normal"/>
    <w:link w:val="CharStyle40"/>
    <w:pPr>
      <w:widowControl w:val="0"/>
      <w:shd w:val="clear" w:color="auto" w:fill="FFFFFF"/>
      <w:spacing w:after="420" w:line="0" w:lineRule="exact"/>
    </w:pPr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44">
    <w:name w:val="Заголовок №1 (2)"/>
    <w:basedOn w:val="Normal"/>
    <w:link w:val="CharStyle45"/>
    <w:pPr>
      <w:widowControl w:val="0"/>
      <w:shd w:val="clear" w:color="auto" w:fill="FFFFFF"/>
      <w:outlineLvl w:val="0"/>
      <w:spacing w:before="420" w:line="0" w:lineRule="exact"/>
    </w:pPr>
    <w:rPr>
      <w:b w:val="0"/>
      <w:bCs w:val="0"/>
      <w:i w:val="0"/>
      <w:iCs w:val="0"/>
      <w:u w:val="none"/>
      <w:strike w:val="0"/>
      <w:smallCaps w:val="0"/>
      <w:sz w:val="32"/>
      <w:szCs w:val="32"/>
      <w:rFonts w:ascii="Gulim" w:eastAsia="Gulim" w:hAnsi="Gulim" w:cs="Gulim"/>
      <w:spacing w:val="2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