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h="209" w:wrap="around" w:vAnchor="text" w:hAnchor="margin" w:x="2245" w:y="4983"/>
        <w:widowControl w:val="0"/>
        <w:keepNext w:val="0"/>
        <w:keepLines w:val="0"/>
        <w:shd w:val="clear" w:color="auto" w:fill="auto"/>
        <w:bidi w:val="0"/>
        <w:jc w:val="left"/>
        <w:spacing w:before="0" w:after="0" w:line="210" w:lineRule="exact"/>
        <w:ind w:left="100" w:right="0" w:firstLine="0"/>
      </w:pPr>
      <w:r>
        <w:rPr>
          <w:rStyle w:val="CharStyle5"/>
          <w:spacing w:val="0"/>
        </w:rPr>
        <w:t>от</w:t>
      </w:r>
    </w:p>
    <w:p>
      <w:pPr>
        <w:widowControl w:val="0"/>
        <w:rPr>
          <w:sz w:val="2"/>
          <w:szCs w:val="2"/>
        </w:rPr>
      </w:pPr>
    </w:p>
    <w:p>
      <w:pPr>
        <w:pStyle w:val="Style6"/>
        <w:widowControl w:val="0"/>
        <w:keepNext w:val="0"/>
        <w:keepLines w:val="0"/>
        <w:shd w:val="clear" w:color="auto" w:fill="auto"/>
        <w:bidi w:val="0"/>
        <w:spacing w:before="5" w:after="60"/>
        <w:ind w:left="0" w:right="0" w:firstLine="0"/>
      </w:pPr>
      <w:r>
        <w:rPr>
          <w:rStyle w:val="CharStyle8"/>
          <w:b/>
          <w:bCs/>
        </w:rPr>
        <w:t>ФЕДЕРАЛЬНАЯ АНТИМОНОПОЛЬНАЯ СЛУЖБА</w:t>
      </w:r>
    </w:p>
    <w:p>
      <w:pPr>
        <w:pStyle w:val="Style6"/>
        <w:widowControl w:val="0"/>
        <w:keepNext w:val="0"/>
        <w:keepLines w:val="0"/>
        <w:shd w:val="clear" w:color="auto" w:fill="auto"/>
        <w:bidi w:val="0"/>
        <w:spacing w:before="0" w:after="98"/>
        <w:ind w:left="0" w:right="0" w:firstLine="0"/>
      </w:pPr>
      <w:r>
        <w:rPr>
          <w:rStyle w:val="CharStyle8"/>
          <w:b/>
          <w:bCs/>
        </w:rPr>
        <w:t>УПРАВЛЕНИЕ Федеральной антимонопольной службы по Республике Крым и городу Севастополю (Крымское УФАС России)</w:t>
      </w:r>
    </w:p>
    <w:p>
      <w:pPr>
        <w:pStyle w:val="Style9"/>
        <w:widowControl w:val="0"/>
        <w:keepNext w:val="0"/>
        <w:keepLines w:val="0"/>
        <w:shd w:val="clear" w:color="auto" w:fill="auto"/>
        <w:bidi w:val="0"/>
        <w:spacing w:before="0" w:after="0"/>
        <w:ind w:left="0" w:right="0" w:firstLine="0"/>
      </w:pPr>
      <w:r>
        <w:rPr>
          <w:rStyle w:val="CharStyle11"/>
          <w:b/>
          <w:bCs/>
        </w:rPr>
        <w:t xml:space="preserve">ул. Александра Невского, д. 1, г. Симферополь, Республика Крым, 295000 тел. (3652) 54-46-38, факс (3652) 25-24-31 </w:t>
      </w:r>
      <w:r>
        <w:fldChar w:fldCharType="begin"/>
      </w:r>
      <w:r>
        <w:rPr>
          <w:rStyle w:val="CharStyle12"/>
        </w:rPr>
        <w:instrText> HYPERLINK "mailto:to82@fas.gov.ru" </w:instrText>
      </w:r>
      <w:r>
        <w:fldChar w:fldCharType="separate"/>
      </w:r>
      <w:r>
        <w:rPr>
          <w:rStyle w:val="Hyperlink"/>
          <w:b/>
          <w:bCs/>
        </w:rPr>
        <w:t>to82@fas.gov.ru</w:t>
      </w:r>
      <w:r>
        <w:fldChar w:fldCharType="end"/>
      </w:r>
      <w:r>
        <w:rPr>
          <w:rStyle w:val="CharStyle12"/>
          <w:b/>
          <w:bCs/>
        </w:rPr>
        <w:t xml:space="preserve"> </w:t>
      </w:r>
      <w:r>
        <w:fldChar w:fldCharType="begin"/>
      </w:r>
      <w:r>
        <w:rPr>
          <w:rStyle w:val="CharStyle12"/>
        </w:rPr>
        <w:instrText> HYPERLINK "http://www.krvmias.gov.ru" </w:instrText>
      </w:r>
      <w:r>
        <w:fldChar w:fldCharType="separate"/>
      </w:r>
      <w:r>
        <w:rPr>
          <w:rStyle w:val="Hyperlink"/>
          <w:b/>
          <w:bCs/>
        </w:rPr>
        <w:t>http://www.krvmias.gov.ru</w:t>
      </w:r>
      <w:r>
        <w:fldChar w:fldCharType="end"/>
      </w:r>
    </w:p>
    <w:p>
      <w:pPr>
        <w:pStyle w:val="Style13"/>
        <w:widowControl w:val="0"/>
        <w:keepNext/>
        <w:keepLines/>
        <w:shd w:val="clear" w:color="auto" w:fill="auto"/>
        <w:bidi w:val="0"/>
        <w:jc w:val="left"/>
        <w:spacing w:before="0" w:after="214" w:line="500" w:lineRule="exact"/>
        <w:ind w:left="200" w:right="0" w:firstLine="0"/>
      </w:pPr>
      <w:bookmarkStart w:id="0" w:name="bookmark0"/>
      <w:r>
        <w:rPr>
          <w:rStyle w:val="CharStyle15"/>
          <w:i/>
          <w:iCs/>
        </w:rPr>
        <w:t xml:space="preserve">/о! </w:t>
      </w:r>
      <w:r>
        <w:rPr>
          <w:rStyle w:val="CharStyle16"/>
          <w:i/>
          <w:iCs/>
        </w:rPr>
        <w:t>ег.</w:t>
      </w:r>
      <w:bookmarkEnd w:id="0"/>
    </w:p>
    <w:p>
      <w:pPr>
        <w:pStyle w:val="Style3"/>
        <w:widowControl w:val="0"/>
        <w:keepNext w:val="0"/>
        <w:keepLines w:val="0"/>
        <w:shd w:val="clear" w:color="auto" w:fill="auto"/>
        <w:bidi w:val="0"/>
        <w:jc w:val="left"/>
        <w:spacing w:before="0" w:after="0" w:line="260" w:lineRule="exact"/>
        <w:ind w:left="60" w:right="0" w:firstLine="0"/>
      </w:pPr>
      <w:r>
        <w:rPr>
          <w:rStyle w:val="CharStyle18"/>
        </w:rPr>
        <w:t xml:space="preserve">На № </w:t>
      </w:r>
      <w:r>
        <w:rPr>
          <w:rStyle w:val="CharStyle19"/>
        </w:rPr>
        <w:t>■"</w:t>
      </w:r>
      <w:r>
        <w:rPr>
          <w:rStyle w:val="CharStyle20"/>
        </w:rPr>
        <w:t>ЗАКАЗЧИК:</w:t>
      </w:r>
    </w:p>
    <w:p>
      <w:pPr>
        <w:pStyle w:val="Style21"/>
        <w:widowControl w:val="0"/>
        <w:keepNext w:val="0"/>
        <w:keepLines w:val="0"/>
        <w:shd w:val="clear" w:color="auto" w:fill="auto"/>
        <w:bidi w:val="0"/>
        <w:jc w:val="left"/>
        <w:spacing w:before="0" w:after="330" w:line="324" w:lineRule="exact"/>
        <w:ind w:left="180" w:right="0" w:firstLine="0"/>
      </w:pPr>
      <w:r>
        <w:rPr>
          <w:lang w:val="ru-RU" w:eastAsia="ru-RU" w:bidi="ru-RU"/>
          <w:w w:val="100"/>
          <w:spacing w:val="0"/>
          <w:color w:val="000000"/>
          <w:position w:val="0"/>
        </w:rPr>
        <w:t xml:space="preserve">Государственное бюджетное образовательное учреждение города Севастополя «Образовательный </w:t>
      </w:r>
      <w:r>
        <w:rPr>
          <w:rStyle w:val="CharStyle20"/>
          <w:b/>
          <w:bCs/>
        </w:rPr>
        <w:t>комплекс «Бухта Казачья»</w:t>
      </w:r>
      <w:r>
        <w:rPr>
          <w:lang w:val="ru-RU" w:eastAsia="ru-RU" w:bidi="ru-RU"/>
          <w:w w:val="100"/>
          <w:spacing w:val="0"/>
          <w:color w:val="000000"/>
          <w:position w:val="0"/>
        </w:rPr>
        <w:t xml:space="preserve"> </w:t>
      </w:r>
      <w:r>
        <w:rPr>
          <w:rStyle w:val="CharStyle22"/>
          <w:b w:val="0"/>
          <w:bCs w:val="0"/>
        </w:rPr>
        <w:t xml:space="preserve">ул. Щербака, д. 10 г. Севастополь, </w:t>
      </w:r>
      <w:r>
        <w:fldChar w:fldCharType="begin"/>
      </w:r>
      <w:r>
        <w:rPr>
          <w:rStyle w:val="CharStyle23"/>
        </w:rPr>
        <w:instrText> HYPERLINK "mailto:ok-buhtakazachya@mail.ru" </w:instrText>
      </w:r>
      <w:r>
        <w:fldChar w:fldCharType="separate"/>
      </w:r>
      <w:r>
        <w:rPr>
          <w:rStyle w:val="Hyperlink"/>
          <w:b w:val="0"/>
          <w:bCs w:val="0"/>
        </w:rPr>
        <w:t>ok-buhtakazachya@mail.ru</w:t>
      </w:r>
      <w:r>
        <w:fldChar w:fldCharType="end"/>
      </w:r>
    </w:p>
    <w:p>
      <w:pPr>
        <w:pStyle w:val="Style21"/>
        <w:widowControl w:val="0"/>
        <w:keepNext w:val="0"/>
        <w:keepLines w:val="0"/>
        <w:shd w:val="clear" w:color="auto" w:fill="auto"/>
        <w:bidi w:val="0"/>
        <w:jc w:val="left"/>
        <w:spacing w:before="0" w:after="0" w:line="362" w:lineRule="exact"/>
        <w:ind w:left="180" w:right="0" w:firstLine="0"/>
      </w:pPr>
      <w:r>
        <w:rPr>
          <w:rStyle w:val="CharStyle20"/>
          <w:b/>
          <w:bCs/>
        </w:rPr>
        <w:t>ЗАЯВИТЕЛЬ:</w:t>
      </w:r>
    </w:p>
    <w:p>
      <w:pPr>
        <w:pStyle w:val="Style21"/>
        <w:widowControl w:val="0"/>
        <w:keepNext w:val="0"/>
        <w:keepLines w:val="0"/>
        <w:shd w:val="clear" w:color="auto" w:fill="auto"/>
        <w:bidi w:val="0"/>
        <w:jc w:val="left"/>
        <w:spacing w:before="0" w:after="0" w:line="362" w:lineRule="exact"/>
        <w:ind w:left="180" w:right="0" w:firstLine="0"/>
      </w:pPr>
      <w:r>
        <w:rPr>
          <w:lang w:val="ru-RU" w:eastAsia="ru-RU" w:bidi="ru-RU"/>
          <w:w w:val="100"/>
          <w:spacing w:val="0"/>
          <w:color w:val="000000"/>
          <w:position w:val="0"/>
        </w:rPr>
        <w:t>Автономная некоммерческая</w:t>
      </w:r>
    </w:p>
    <w:p>
      <w:pPr>
        <w:pStyle w:val="Style21"/>
        <w:widowControl w:val="0"/>
        <w:keepNext w:val="0"/>
        <w:keepLines w:val="0"/>
        <w:shd w:val="clear" w:color="auto" w:fill="auto"/>
        <w:bidi w:val="0"/>
        <w:jc w:val="left"/>
        <w:spacing w:before="0" w:after="0" w:line="362" w:lineRule="exact"/>
        <w:ind w:left="180" w:right="0" w:firstLine="0"/>
      </w:pPr>
      <w:r>
        <w:rPr>
          <w:lang w:val="ru-RU" w:eastAsia="ru-RU" w:bidi="ru-RU"/>
          <w:w w:val="100"/>
          <w:spacing w:val="0"/>
          <w:color w:val="000000"/>
          <w:position w:val="0"/>
        </w:rPr>
        <w:t>организация содействия</w:t>
      </w:r>
    </w:p>
    <w:p>
      <w:pPr>
        <w:pStyle w:val="Style21"/>
        <w:widowControl w:val="0"/>
        <w:keepNext w:val="0"/>
        <w:keepLines w:val="0"/>
        <w:shd w:val="clear" w:color="auto" w:fill="auto"/>
        <w:bidi w:val="0"/>
        <w:jc w:val="left"/>
        <w:spacing w:before="0" w:after="0" w:line="362" w:lineRule="exact"/>
        <w:ind w:left="180" w:right="0" w:firstLine="0"/>
      </w:pPr>
      <w:r>
        <w:rPr>
          <w:lang w:val="ru-RU" w:eastAsia="ru-RU" w:bidi="ru-RU"/>
          <w:w w:val="100"/>
          <w:spacing w:val="0"/>
          <w:color w:val="000000"/>
          <w:position w:val="0"/>
        </w:rPr>
        <w:t>юридическому просвещению</w:t>
      </w:r>
    </w:p>
    <w:p>
      <w:pPr>
        <w:pStyle w:val="Style21"/>
        <w:widowControl w:val="0"/>
        <w:keepNext w:val="0"/>
        <w:keepLines w:val="0"/>
        <w:shd w:val="clear" w:color="auto" w:fill="auto"/>
        <w:bidi w:val="0"/>
        <w:jc w:val="left"/>
        <w:spacing w:before="0" w:after="0" w:line="362" w:lineRule="exact"/>
        <w:ind w:left="180" w:right="0" w:firstLine="0"/>
      </w:pPr>
      <w:r>
        <w:rPr>
          <w:lang w:val="ru-RU" w:eastAsia="ru-RU" w:bidi="ru-RU"/>
          <w:w w:val="100"/>
          <w:spacing w:val="0"/>
          <w:color w:val="000000"/>
          <w:position w:val="0"/>
        </w:rPr>
        <w:t>«Центр юридического</w:t>
      </w:r>
    </w:p>
    <w:p>
      <w:pPr>
        <w:pStyle w:val="Style21"/>
        <w:widowControl w:val="0"/>
        <w:keepNext w:val="0"/>
        <w:keepLines w:val="0"/>
        <w:shd w:val="clear" w:color="auto" w:fill="auto"/>
        <w:bidi w:val="0"/>
        <w:jc w:val="left"/>
        <w:spacing w:before="0" w:after="0" w:line="362" w:lineRule="exact"/>
        <w:ind w:left="180" w:right="0" w:firstLine="0"/>
      </w:pPr>
      <w:r>
        <w:rPr>
          <w:lang w:val="ru-RU" w:eastAsia="ru-RU" w:bidi="ru-RU"/>
          <w:w w:val="100"/>
          <w:spacing w:val="0"/>
          <w:color w:val="000000"/>
          <w:position w:val="0"/>
        </w:rPr>
        <w:t>мониторинга»</w:t>
      </w:r>
    </w:p>
    <w:p>
      <w:pPr>
        <w:pStyle w:val="Style24"/>
        <w:widowControl w:val="0"/>
        <w:keepNext w:val="0"/>
        <w:keepLines w:val="0"/>
        <w:shd w:val="clear" w:color="auto" w:fill="auto"/>
        <w:bidi w:val="0"/>
        <w:jc w:val="left"/>
        <w:spacing w:before="0" w:after="0" w:line="260" w:lineRule="exact"/>
        <w:ind w:left="180" w:right="0" w:firstLine="0"/>
      </w:pPr>
      <w:r>
        <w:rPr>
          <w:lang w:val="ru-RU" w:eastAsia="ru-RU" w:bidi="ru-RU"/>
          <w:w w:val="100"/>
          <w:spacing w:val="0"/>
          <w:color w:val="000000"/>
          <w:position w:val="0"/>
        </w:rPr>
        <w:t>ул. пр-д Харьковский, д.2,</w:t>
      </w:r>
    </w:p>
    <w:p>
      <w:pPr>
        <w:pStyle w:val="Style24"/>
        <w:widowControl w:val="0"/>
        <w:keepNext w:val="0"/>
        <w:keepLines w:val="0"/>
        <w:shd w:val="clear" w:color="auto" w:fill="auto"/>
        <w:bidi w:val="0"/>
        <w:jc w:val="left"/>
        <w:spacing w:before="0" w:after="0" w:line="353" w:lineRule="exact"/>
        <w:ind w:left="180" w:right="0" w:firstLine="0"/>
      </w:pPr>
      <w:r>
        <w:rPr>
          <w:lang w:val="ru-RU" w:eastAsia="ru-RU" w:bidi="ru-RU"/>
          <w:w w:val="100"/>
          <w:spacing w:val="0"/>
          <w:color w:val="000000"/>
          <w:position w:val="0"/>
        </w:rPr>
        <w:t>оф.3424,</w:t>
      </w:r>
    </w:p>
    <w:p>
      <w:pPr>
        <w:pStyle w:val="Style24"/>
        <w:widowControl w:val="0"/>
        <w:keepNext w:val="0"/>
        <w:keepLines w:val="0"/>
        <w:shd w:val="clear" w:color="auto" w:fill="auto"/>
        <w:bidi w:val="0"/>
        <w:jc w:val="left"/>
        <w:spacing w:before="0" w:after="0" w:line="353" w:lineRule="exact"/>
        <w:ind w:left="180" w:right="0" w:firstLine="0"/>
        <w:sectPr>
          <w:footnotePr>
            <w:pos w:val="pageBottom"/>
            <w:numFmt w:val="decimal"/>
            <w:numRestart w:val="continuous"/>
          </w:footnotePr>
          <w:type w:val="continuous"/>
          <w:pgSz w:w="11906" w:h="16838"/>
          <w:pgMar w:top="611" w:left="705" w:right="1454" w:bottom="635" w:header="0" w:footer="3" w:gutter="0"/>
          <w:rtlGutter w:val="0"/>
          <w:cols w:num="2" w:space="720" w:equalWidth="0">
            <w:col w:w="4797" w:space="1073"/>
            <w:col w:w="3877"/>
          </w:cols>
          <w:noEndnote/>
          <w:docGrid w:linePitch="360"/>
        </w:sectPr>
      </w:pPr>
      <w:r>
        <w:rPr>
          <w:lang w:val="ru-RU" w:eastAsia="ru-RU" w:bidi="ru-RU"/>
          <w:w w:val="100"/>
          <w:spacing w:val="0"/>
          <w:color w:val="000000"/>
          <w:position w:val="0"/>
        </w:rPr>
        <w:t xml:space="preserve">г. Москва, 117546 </w:t>
      </w:r>
      <w:r>
        <w:fldChar w:fldCharType="begin"/>
      </w:r>
      <w:r>
        <w:rPr>
          <w:rStyle w:val="CharStyle26"/>
        </w:rPr>
        <w:instrText> HYPERLINK "mailto:ng@law-monitoring.ru" </w:instrText>
      </w:r>
      <w:r>
        <w:fldChar w:fldCharType="separate"/>
      </w:r>
      <w:r>
        <w:rPr>
          <w:rStyle w:val="Hyperlink"/>
        </w:rPr>
        <w:t>ng@law-monitoring.ru</w:t>
      </w:r>
      <w:r>
        <w:fldChar w:fldCharType="end"/>
      </w:r>
    </w:p>
    <w:p>
      <w:pPr>
        <w:widowControl w:val="0"/>
        <w:spacing w:before="58" w:after="58"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1"/>
        <w:widowControl w:val="0"/>
        <w:keepNext w:val="0"/>
        <w:keepLines w:val="0"/>
        <w:shd w:val="clear" w:color="auto" w:fill="auto"/>
        <w:bidi w:val="0"/>
        <w:jc w:val="left"/>
        <w:spacing w:before="0" w:after="0" w:line="343" w:lineRule="exact"/>
        <w:ind w:left="5440" w:right="0" w:firstLine="0"/>
      </w:pPr>
      <w:r>
        <w:rPr>
          <w:rStyle w:val="CharStyle20"/>
          <w:b/>
          <w:bCs/>
        </w:rPr>
        <w:t>ЭЛЕКТРОННАЯ</w:t>
      </w:r>
    </w:p>
    <w:p>
      <w:pPr>
        <w:pStyle w:val="Style21"/>
        <w:widowControl w:val="0"/>
        <w:keepNext w:val="0"/>
        <w:keepLines w:val="0"/>
        <w:shd w:val="clear" w:color="auto" w:fill="auto"/>
        <w:bidi w:val="0"/>
        <w:jc w:val="left"/>
        <w:spacing w:before="0" w:after="0" w:line="343" w:lineRule="exact"/>
        <w:ind w:left="5440" w:right="0" w:firstLine="0"/>
      </w:pPr>
      <w:r>
        <w:rPr>
          <w:rStyle w:val="CharStyle20"/>
          <w:b/>
          <w:bCs/>
        </w:rPr>
        <w:t>ПЛОЩАДКА:</w:t>
      </w:r>
    </w:p>
    <w:p>
      <w:pPr>
        <w:pStyle w:val="Style21"/>
        <w:widowControl w:val="0"/>
        <w:keepNext w:val="0"/>
        <w:keepLines w:val="0"/>
        <w:shd w:val="clear" w:color="auto" w:fill="auto"/>
        <w:bidi w:val="0"/>
        <w:jc w:val="left"/>
        <w:spacing w:before="0" w:after="0" w:line="343" w:lineRule="exact"/>
        <w:ind w:left="5440" w:right="700" w:firstLine="0"/>
      </w:pPr>
      <w:r>
        <w:rPr>
          <w:lang w:val="ru-RU" w:eastAsia="ru-RU" w:bidi="ru-RU"/>
          <w:w w:val="100"/>
          <w:spacing w:val="0"/>
          <w:color w:val="000000"/>
          <w:position w:val="0"/>
        </w:rPr>
        <w:t>Закрытое акционерное общество «Сбербанк - Автоматизированная система</w:t>
      </w:r>
    </w:p>
    <w:p>
      <w:pPr>
        <w:pStyle w:val="Style21"/>
        <w:tabs>
          <w:tab w:leader="underscore" w:pos="9350" w:val="left"/>
        </w:tabs>
        <w:widowControl w:val="0"/>
        <w:keepNext w:val="0"/>
        <w:keepLines w:val="0"/>
        <w:shd w:val="clear" w:color="auto" w:fill="auto"/>
        <w:bidi w:val="0"/>
        <w:jc w:val="both"/>
        <w:spacing w:before="0" w:after="0" w:line="343" w:lineRule="exact"/>
        <w:ind w:left="5440" w:right="0" w:firstLine="0"/>
      </w:pPr>
      <w:r>
        <w:rPr>
          <w:rStyle w:val="CharStyle20"/>
          <w:b/>
          <w:bCs/>
        </w:rPr>
        <w:t>торгов»</w:t>
      </w:r>
      <w:r>
        <w:rPr>
          <w:lang w:val="ru-RU" w:eastAsia="ru-RU" w:bidi="ru-RU"/>
          <w:w w:val="100"/>
          <w:spacing w:val="0"/>
          <w:color w:val="000000"/>
          <w:position w:val="0"/>
        </w:rPr>
        <w:tab/>
      </w:r>
    </w:p>
    <w:p>
      <w:pPr>
        <w:pStyle w:val="Style24"/>
        <w:widowControl w:val="0"/>
        <w:keepNext w:val="0"/>
        <w:keepLines w:val="0"/>
        <w:shd w:val="clear" w:color="auto" w:fill="auto"/>
        <w:bidi w:val="0"/>
        <w:jc w:val="left"/>
        <w:spacing w:before="0" w:after="683" w:line="343" w:lineRule="exact"/>
        <w:ind w:left="5440" w:right="700" w:firstLine="0"/>
      </w:pPr>
      <w:r>
        <w:rPr>
          <w:lang w:val="ru-RU" w:eastAsia="ru-RU" w:bidi="ru-RU"/>
          <w:w w:val="100"/>
          <w:spacing w:val="0"/>
          <w:color w:val="000000"/>
          <w:position w:val="0"/>
        </w:rPr>
        <w:t xml:space="preserve">ул. Новослободская, д. 24, стр. 2 г. Москва, 127055 </w:t>
      </w:r>
      <w:r>
        <w:fldChar w:fldCharType="begin"/>
      </w:r>
      <w:r>
        <w:rPr>
          <w:rStyle w:val="CharStyle26"/>
        </w:rPr>
        <w:instrText> HYPERLINK "mailto:info@sberbank-ast.ru" </w:instrText>
      </w:r>
      <w:r>
        <w:fldChar w:fldCharType="separate"/>
      </w:r>
      <w:r>
        <w:rPr>
          <w:rStyle w:val="Hyperlink"/>
        </w:rPr>
        <w:t>info@sberbank-ast.ru</w:t>
      </w:r>
      <w:r>
        <w:fldChar w:fldCharType="end"/>
      </w:r>
    </w:p>
    <w:p>
      <w:pPr>
        <w:pStyle w:val="Style21"/>
        <w:widowControl w:val="0"/>
        <w:keepNext w:val="0"/>
        <w:keepLines w:val="0"/>
        <w:shd w:val="clear" w:color="auto" w:fill="auto"/>
        <w:bidi w:val="0"/>
        <w:jc w:val="left"/>
        <w:spacing w:before="0" w:after="0" w:line="315" w:lineRule="exact"/>
        <w:ind w:left="1560" w:right="2720" w:firstLine="2240"/>
      </w:pPr>
      <w:r>
        <w:rPr>
          <w:lang w:val="ru-RU" w:eastAsia="ru-RU" w:bidi="ru-RU"/>
          <w:w w:val="100"/>
          <w:spacing w:val="0"/>
          <w:color w:val="000000"/>
          <w:position w:val="0"/>
        </w:rPr>
        <w:t>РЕШЕНИЕ по делу № 08/1285-17 о нарушении законодательства об осуществлении закупок</w:t>
      </w:r>
    </w:p>
    <w:p>
      <w:pPr>
        <w:pStyle w:val="Style24"/>
        <w:widowControl w:val="0"/>
        <w:keepNext w:val="0"/>
        <w:keepLines w:val="0"/>
        <w:shd w:val="clear" w:color="auto" w:fill="auto"/>
        <w:bidi w:val="0"/>
        <w:jc w:val="left"/>
        <w:spacing w:before="0" w:after="55" w:line="260" w:lineRule="exact"/>
        <w:ind w:left="7580" w:right="0" w:firstLine="0"/>
      </w:pPr>
      <w:r>
        <w:rPr>
          <w:lang w:val="ru-RU" w:eastAsia="ru-RU" w:bidi="ru-RU"/>
          <w:w w:val="100"/>
          <w:spacing w:val="0"/>
          <w:color w:val="000000"/>
          <w:position w:val="0"/>
        </w:rPr>
        <w:t>г. Севастополь</w:t>
      </w:r>
    </w:p>
    <w:p>
      <w:pPr>
        <w:pStyle w:val="Style24"/>
        <w:widowControl w:val="0"/>
        <w:keepNext w:val="0"/>
        <w:keepLines w:val="0"/>
        <w:shd w:val="clear" w:color="auto" w:fill="auto"/>
        <w:bidi w:val="0"/>
        <w:jc w:val="left"/>
        <w:spacing w:before="0" w:after="51" w:line="260" w:lineRule="exact"/>
        <w:ind w:left="0" w:right="0" w:firstLine="0"/>
      </w:pPr>
      <w:r>
        <w:rPr>
          <w:lang w:val="ru-RU" w:eastAsia="ru-RU" w:bidi="ru-RU"/>
          <w:w w:val="100"/>
          <w:spacing w:val="0"/>
          <w:color w:val="000000"/>
          <w:position w:val="0"/>
        </w:rPr>
        <w:t>Резолютивная часть решения объявлена 05 мая 2017 года.</w:t>
      </w:r>
    </w:p>
    <w:p>
      <w:pPr>
        <w:pStyle w:val="Style24"/>
        <w:widowControl w:val="0"/>
        <w:keepNext w:val="0"/>
        <w:keepLines w:val="0"/>
        <w:shd w:val="clear" w:color="auto" w:fill="auto"/>
        <w:bidi w:val="0"/>
        <w:jc w:val="left"/>
        <w:spacing w:before="0" w:after="237" w:line="260" w:lineRule="exact"/>
        <w:ind w:left="0" w:right="0" w:firstLine="0"/>
      </w:pPr>
      <w:r>
        <w:rPr>
          <w:lang w:val="ru-RU" w:eastAsia="ru-RU" w:bidi="ru-RU"/>
          <w:w w:val="100"/>
          <w:spacing w:val="0"/>
          <w:color w:val="000000"/>
          <w:position w:val="0"/>
        </w:rPr>
        <w:t>Решение изготовлено в полном объеме 12 мая 2017 года.</w:t>
      </w:r>
    </w:p>
    <w:p>
      <w:pPr>
        <w:pStyle w:val="Style27"/>
        <w:widowControl w:val="0"/>
        <w:keepNext/>
        <w:keepLines/>
        <w:shd w:val="clear" w:color="auto" w:fill="auto"/>
        <w:bidi w:val="0"/>
        <w:spacing w:before="0" w:after="0" w:line="360" w:lineRule="exact"/>
        <w:ind w:left="0" w:right="280" w:firstLine="0"/>
      </w:pPr>
      <w:bookmarkStart w:id="1" w:name="bookmark1"/>
      <w:r>
        <w:rPr>
          <w:lang w:val="ru-RU" w:eastAsia="ru-RU" w:bidi="ru-RU"/>
          <w:w w:val="100"/>
          <w:color w:val="000000"/>
          <w:position w:val="0"/>
        </w:rPr>
        <w:t>023119</w:t>
      </w:r>
      <w:bookmarkEnd w:id="1"/>
      <w:r>
        <w:br w:type="page"/>
      </w:r>
    </w:p>
    <w:p>
      <w:pPr>
        <w:pStyle w:val="Style24"/>
        <w:widowControl w:val="0"/>
        <w:keepNext w:val="0"/>
        <w:keepLines w:val="0"/>
        <w:shd w:val="clear" w:color="auto" w:fill="auto"/>
        <w:bidi w:val="0"/>
        <w:jc w:val="left"/>
        <w:spacing w:before="0" w:after="0" w:line="362" w:lineRule="exact"/>
        <w:ind w:left="20" w:right="20" w:firstLine="700"/>
      </w:pPr>
      <w:r>
        <w:rPr>
          <w:lang w:val="ru-RU" w:eastAsia="ru-RU" w:bidi="ru-RU"/>
          <w:w w:val="100"/>
          <w:spacing w:val="0"/>
          <w:color w:val="000000"/>
          <w:position w:val="0"/>
        </w:rPr>
        <w:t>Комиссия по контролю в сфере закупок города федерального значения Севастополя (далее - Комиссия) Управления Федеральной антимонопольной службы по Республике Крым и городу Севастополь (далее - Управление) в составе: Лактионов Д.В. - начальник отдела контроля за соблюдением антимонопольного законодательства, рекламы и контроля закупок города Севастополя (далее - Отдел) Управления, заместитель Председателя Комиссии; КицукН.В. - специалист-эксперт Отдела Управления, член Комиссии; Кузьмич Д.А. - специалист-эксперт Отдела Управления, член Комиссии; в присутствии представителей:</w:t>
      </w:r>
    </w:p>
    <w:p>
      <w:pPr>
        <w:pStyle w:val="Style24"/>
        <w:widowControl w:val="0"/>
        <w:keepNext w:val="0"/>
        <w:keepLines w:val="0"/>
        <w:shd w:val="clear" w:color="auto" w:fill="auto"/>
        <w:bidi w:val="0"/>
        <w:jc w:val="both"/>
        <w:spacing w:before="0" w:after="0" w:line="362" w:lineRule="exact"/>
        <w:ind w:left="20" w:right="20" w:firstLine="700"/>
      </w:pPr>
      <w:r>
        <w:rPr>
          <w:lang w:val="ru-RU" w:eastAsia="ru-RU" w:bidi="ru-RU"/>
          <w:w w:val="100"/>
          <w:spacing w:val="0"/>
          <w:color w:val="000000"/>
          <w:position w:val="0"/>
        </w:rPr>
        <w:t>Г осударственного бюджетного образовательного учреждения города Севастополя «Образовательный комплекс «Бухта Казачья»: Алексеенко А.Н. (доверенность № б/н от 04 мая 2017 года), Донцовой Т.В. (директор);</w:t>
      </w:r>
    </w:p>
    <w:p>
      <w:pPr>
        <w:pStyle w:val="Style24"/>
        <w:widowControl w:val="0"/>
        <w:keepNext w:val="0"/>
        <w:keepLines w:val="0"/>
        <w:shd w:val="clear" w:color="auto" w:fill="auto"/>
        <w:bidi w:val="0"/>
        <w:jc w:val="both"/>
        <w:spacing w:before="0" w:after="0" w:line="362" w:lineRule="exact"/>
        <w:ind w:left="20" w:right="20" w:firstLine="700"/>
      </w:pPr>
      <w:r>
        <w:rPr>
          <w:lang w:val="ru-RU" w:eastAsia="ru-RU" w:bidi="ru-RU"/>
          <w:w w:val="100"/>
          <w:spacing w:val="0"/>
          <w:color w:val="000000"/>
          <w:position w:val="0"/>
        </w:rPr>
        <w:t>Автономной некоммерческой организации содействия юридическому просвещению «Центр юридического мониторинга»: Машава О.Б. (по доверенности № б/н от 23 сентября 2016 года),</w:t>
      </w:r>
    </w:p>
    <w:p>
      <w:pPr>
        <w:pStyle w:val="Style24"/>
        <w:widowControl w:val="0"/>
        <w:keepNext w:val="0"/>
        <w:keepLines w:val="0"/>
        <w:shd w:val="clear" w:color="auto" w:fill="auto"/>
        <w:bidi w:val="0"/>
        <w:jc w:val="both"/>
        <w:spacing w:before="0" w:after="142" w:line="362" w:lineRule="exact"/>
        <w:ind w:left="20" w:right="20" w:firstLine="700"/>
      </w:pPr>
      <w:r>
        <w:rPr>
          <w:lang w:val="ru-RU" w:eastAsia="ru-RU" w:bidi="ru-RU"/>
          <w:w w:val="100"/>
          <w:spacing w:val="0"/>
          <w:color w:val="000000"/>
          <w:position w:val="0"/>
        </w:rPr>
        <w:t>рассмотрев жалобу Автономной некоммерческой организации содействия юридическому просвещению «Центр юридического мониторинга» (далее - Заявитель) на действия Государственного бюджетного образовательного учреждения города Севастополя «Образовательный комплекс «Бухта Казачья» (далее — Заказчик) при проведении электронного аукциона на поставку компьютерной техники, извещение №0374500000417000008 (далее - Аукцион), заслушав пояснения представителей Заказчика, Заявителя, рассмотрев представленные сторонами материалы, в соответствии со статьей 106 Федерального закона от 05 апреля 2013 года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руководствуясь Приказом ФАС России от 19 ноября 2014 года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(далее - Административный регламент),</w:t>
      </w:r>
    </w:p>
    <w:p>
      <w:pPr>
        <w:pStyle w:val="Style21"/>
        <w:widowControl w:val="0"/>
        <w:keepNext w:val="0"/>
        <w:keepLines w:val="0"/>
        <w:shd w:val="clear" w:color="auto" w:fill="auto"/>
        <w:bidi w:val="0"/>
        <w:jc w:val="left"/>
        <w:spacing w:before="0" w:after="0" w:line="260" w:lineRule="exact"/>
        <w:ind w:left="4360" w:right="0" w:firstLine="0"/>
      </w:pPr>
      <w:r>
        <w:rPr>
          <w:lang w:val="ru-RU" w:eastAsia="ru-RU" w:bidi="ru-RU"/>
          <w:w w:val="100"/>
          <w:spacing w:val="0"/>
          <w:color w:val="000000"/>
          <w:position w:val="0"/>
        </w:rPr>
        <w:t>УСТАНОВИЛА:</w:t>
      </w:r>
    </w:p>
    <w:p>
      <w:pPr>
        <w:pStyle w:val="Style24"/>
        <w:widowControl w:val="0"/>
        <w:keepNext w:val="0"/>
        <w:keepLines w:val="0"/>
        <w:shd w:val="clear" w:color="auto" w:fill="auto"/>
        <w:bidi w:val="0"/>
        <w:jc w:val="both"/>
        <w:spacing w:before="0" w:after="0" w:line="377" w:lineRule="exact"/>
        <w:ind w:left="20" w:right="20" w:firstLine="700"/>
      </w:pPr>
      <w:r>
        <w:rPr>
          <w:lang w:val="ru-RU" w:eastAsia="ru-RU" w:bidi="ru-RU"/>
          <w:w w:val="100"/>
          <w:spacing w:val="0"/>
          <w:color w:val="000000"/>
          <w:position w:val="0"/>
        </w:rPr>
        <w:t xml:space="preserve">Извещение о проведении Аукциона, аукционная документация, протоколы заседаний аукционной комиссии размещены на официальном сайте </w:t>
      </w:r>
      <w:r>
        <w:fldChar w:fldCharType="begin"/>
      </w:r>
      <w:r>
        <w:rPr>
          <w:rStyle w:val="CharStyle26"/>
        </w:rPr>
        <w:instrText> HYPERLINK "http://zakupki.gov.ru" </w:instrText>
      </w:r>
      <w:r>
        <w:fldChar w:fldCharType="separate"/>
      </w:r>
      <w:r>
        <w:rPr>
          <w:rStyle w:val="Hyperlink"/>
        </w:rPr>
        <w:t>http://zakupki</w:t>
      </w:r>
      <w:r>
        <w:rPr>
          <w:rStyle w:val="Hyperlink"/>
          <w:lang w:val="ru-RU" w:eastAsia="ru-RU" w:bidi="ru-RU"/>
        </w:rPr>
        <w:t>.</w:t>
      </w:r>
      <w:r>
        <w:rPr>
          <w:rStyle w:val="Hyperlink"/>
        </w:rPr>
        <w:t>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в информационно-телекоммуникационной сети «Интернет».</w:t>
      </w:r>
    </w:p>
    <w:p>
      <w:pPr>
        <w:pStyle w:val="Style24"/>
        <w:widowControl w:val="0"/>
        <w:keepNext w:val="0"/>
        <w:keepLines w:val="0"/>
        <w:shd w:val="clear" w:color="auto" w:fill="auto"/>
        <w:bidi w:val="0"/>
        <w:jc w:val="both"/>
        <w:spacing w:before="0" w:after="0" w:line="377" w:lineRule="exact"/>
        <w:ind w:left="20" w:right="0" w:firstLine="700"/>
      </w:pPr>
      <w:r>
        <w:rPr>
          <w:lang w:val="ru-RU" w:eastAsia="ru-RU" w:bidi="ru-RU"/>
          <w:w w:val="100"/>
          <w:spacing w:val="0"/>
          <w:color w:val="000000"/>
          <w:position w:val="0"/>
        </w:rPr>
        <w:t>По мнению Заявителя:</w:t>
      </w:r>
    </w:p>
    <w:p>
      <w:pPr>
        <w:pStyle w:val="Style24"/>
        <w:numPr>
          <w:ilvl w:val="0"/>
          <w:numId w:val="1"/>
        </w:numPr>
        <w:widowControl w:val="0"/>
        <w:keepNext w:val="0"/>
        <w:keepLines w:val="0"/>
        <w:shd w:val="clear" w:color="auto" w:fill="auto"/>
        <w:bidi w:val="0"/>
        <w:jc w:val="both"/>
        <w:spacing w:before="0" w:after="0" w:line="377" w:lineRule="exact"/>
        <w:ind w:left="20" w:right="20" w:firstLine="700"/>
      </w:pPr>
      <w:r>
        <w:rPr>
          <w:lang w:val="ru-RU" w:eastAsia="ru-RU" w:bidi="ru-RU"/>
          <w:w w:val="100"/>
          <w:spacing w:val="0"/>
          <w:color w:val="000000"/>
          <w:position w:val="0"/>
        </w:rPr>
        <w:t xml:space="preserve"> Заказчик одновременно с обжалуемым Аукционом проводит еще один аукцион с идентичным объектом закупки, тем самым целенаправленно раздробил объект закупки на суммы менее 3 миллионов рублей, с целью искусственного уменьшения срока подачи заявки на участие в таких Аукционах.</w:t>
      </w:r>
    </w:p>
    <w:p>
      <w:pPr>
        <w:pStyle w:val="Style24"/>
        <w:numPr>
          <w:ilvl w:val="0"/>
          <w:numId w:val="1"/>
        </w:numPr>
        <w:widowControl w:val="0"/>
        <w:keepNext w:val="0"/>
        <w:keepLines w:val="0"/>
        <w:shd w:val="clear" w:color="auto" w:fill="auto"/>
        <w:bidi w:val="0"/>
        <w:jc w:val="both"/>
        <w:spacing w:before="0" w:after="0" w:line="377" w:lineRule="exact"/>
        <w:ind w:left="20" w:right="20" w:firstLine="700"/>
      </w:pPr>
      <w:r>
        <w:rPr>
          <w:lang w:val="ru-RU" w:eastAsia="ru-RU" w:bidi="ru-RU"/>
          <w:w w:val="100"/>
          <w:spacing w:val="0"/>
          <w:color w:val="000000"/>
          <w:position w:val="0"/>
        </w:rPr>
        <w:t xml:space="preserve"> Заказчик в нарушение действующего законодательства, внес изменения в объект закупки.</w:t>
      </w:r>
    </w:p>
    <w:p>
      <w:pPr>
        <w:pStyle w:val="Style24"/>
        <w:widowControl w:val="0"/>
        <w:keepNext w:val="0"/>
        <w:keepLines w:val="0"/>
        <w:shd w:val="clear" w:color="auto" w:fill="auto"/>
        <w:bidi w:val="0"/>
        <w:jc w:val="both"/>
        <w:spacing w:before="0" w:after="0" w:line="377" w:lineRule="exact"/>
        <w:ind w:left="20" w:right="20" w:firstLine="700"/>
      </w:pPr>
      <w:r>
        <w:rPr>
          <w:lang w:val="ru-RU" w:eastAsia="ru-RU" w:bidi="ru-RU"/>
          <w:w w:val="100"/>
          <w:spacing w:val="0"/>
          <w:color w:val="000000"/>
          <w:position w:val="0"/>
        </w:rPr>
        <w:t>Заказчик с доводами Заявителя не согласился в представленных возражениях на жалобу Заявителя.</w:t>
      </w:r>
    </w:p>
    <w:p>
      <w:pPr>
        <w:pStyle w:val="Style24"/>
        <w:widowControl w:val="0"/>
        <w:keepNext w:val="0"/>
        <w:keepLines w:val="0"/>
        <w:shd w:val="clear" w:color="auto" w:fill="auto"/>
        <w:bidi w:val="0"/>
        <w:jc w:val="both"/>
        <w:spacing w:before="0" w:after="0" w:line="377" w:lineRule="exact"/>
        <w:ind w:left="20" w:right="20" w:firstLine="700"/>
      </w:pPr>
      <w:r>
        <w:rPr>
          <w:lang w:val="ru-RU" w:eastAsia="ru-RU" w:bidi="ru-RU"/>
          <w:w w:val="100"/>
          <w:spacing w:val="0"/>
          <w:color w:val="000000"/>
          <w:position w:val="0"/>
        </w:rPr>
        <w:t>Пояснения представителя Заказчика в ходе рассмотрения настоящей жалобы и представленные сторонами документы подтверждают следующие обстоятельства.</w:t>
      </w:r>
    </w:p>
    <w:p>
      <w:pPr>
        <w:pStyle w:val="Style24"/>
        <w:numPr>
          <w:ilvl w:val="0"/>
          <w:numId w:val="3"/>
        </w:numPr>
        <w:widowControl w:val="0"/>
        <w:keepNext w:val="0"/>
        <w:keepLines w:val="0"/>
        <w:shd w:val="clear" w:color="auto" w:fill="auto"/>
        <w:bidi w:val="0"/>
        <w:jc w:val="both"/>
        <w:spacing w:before="0" w:after="0" w:line="362" w:lineRule="exact"/>
        <w:ind w:left="20" w:right="0" w:firstLine="700"/>
      </w:pPr>
      <w:r>
        <w:rPr>
          <w:lang w:val="ru-RU" w:eastAsia="ru-RU" w:bidi="ru-RU"/>
          <w:w w:val="100"/>
          <w:spacing w:val="0"/>
          <w:color w:val="000000"/>
          <w:position w:val="0"/>
        </w:rPr>
        <w:t xml:space="preserve"> По первому доводу.</w:t>
      </w:r>
    </w:p>
    <w:p>
      <w:pPr>
        <w:pStyle w:val="Style24"/>
        <w:widowControl w:val="0"/>
        <w:keepNext w:val="0"/>
        <w:keepLines w:val="0"/>
        <w:shd w:val="clear" w:color="auto" w:fill="auto"/>
        <w:bidi w:val="0"/>
        <w:jc w:val="both"/>
        <w:spacing w:before="0" w:after="0" w:line="362" w:lineRule="exact"/>
        <w:ind w:left="20" w:right="20" w:firstLine="700"/>
      </w:pPr>
      <w:r>
        <w:rPr>
          <w:lang w:val="ru-RU" w:eastAsia="ru-RU" w:bidi="ru-RU"/>
          <w:w w:val="100"/>
          <w:spacing w:val="0"/>
          <w:color w:val="000000"/>
          <w:position w:val="0"/>
        </w:rPr>
        <w:t>Согласно части 2 статьи 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24"/>
        <w:widowControl w:val="0"/>
        <w:keepNext w:val="0"/>
        <w:keepLines w:val="0"/>
        <w:shd w:val="clear" w:color="auto" w:fill="auto"/>
        <w:bidi w:val="0"/>
        <w:jc w:val="both"/>
        <w:spacing w:before="0" w:after="0" w:line="362" w:lineRule="exact"/>
        <w:ind w:left="20" w:right="20" w:firstLine="700"/>
      </w:pPr>
      <w:r>
        <w:rPr>
          <w:lang w:val="ru-RU" w:eastAsia="ru-RU" w:bidi="ru-RU"/>
          <w:w w:val="100"/>
          <w:spacing w:val="0"/>
          <w:color w:val="000000"/>
          <w:position w:val="0"/>
        </w:rPr>
        <w:t>Комиссией Управления установлено, что Заказчик одновременно с обжалуемым Аукционом действительно проводит еще один аукцион с идентичным объектом закупки, что не запрещено Законом о контрактной системе и фактически способствует увеличению количества потенциальных участников конкурентной процедуры. Например, размеры обеспечения заявки и контракта значительно меньше, по каждому из аукционов (до 3 млн рублей), что фактически позволяет большему количеству субъектов хозяйствования принять участие в процедуре Аукциона, нежели чем, в случае проведения Аукциона на большую сумму.</w:t>
      </w:r>
    </w:p>
    <w:p>
      <w:pPr>
        <w:pStyle w:val="Style24"/>
        <w:widowControl w:val="0"/>
        <w:keepNext w:val="0"/>
        <w:keepLines w:val="0"/>
        <w:shd w:val="clear" w:color="auto" w:fill="auto"/>
        <w:bidi w:val="0"/>
        <w:jc w:val="both"/>
        <w:spacing w:before="0" w:after="0" w:line="362" w:lineRule="exact"/>
        <w:ind w:left="20" w:right="20" w:firstLine="700"/>
      </w:pPr>
      <w:r>
        <w:rPr>
          <w:lang w:val="ru-RU" w:eastAsia="ru-RU" w:bidi="ru-RU"/>
          <w:w w:val="100"/>
          <w:spacing w:val="0"/>
          <w:color w:val="000000"/>
          <w:position w:val="0"/>
        </w:rPr>
        <w:t>Таким образом, Комиссия Управления приходит к выводу, что Заказчик правомерно проводит несколько Аукционов на один и тот же объект закупки.</w:t>
      </w:r>
    </w:p>
    <w:p>
      <w:pPr>
        <w:pStyle w:val="Style24"/>
        <w:widowControl w:val="0"/>
        <w:keepNext w:val="0"/>
        <w:keepLines w:val="0"/>
        <w:shd w:val="clear" w:color="auto" w:fill="auto"/>
        <w:bidi w:val="0"/>
        <w:jc w:val="both"/>
        <w:spacing w:before="0" w:after="0" w:line="362" w:lineRule="exact"/>
        <w:ind w:left="20" w:right="0" w:firstLine="700"/>
      </w:pPr>
      <w:r>
        <w:rPr>
          <w:lang w:val="ru-RU" w:eastAsia="ru-RU" w:bidi="ru-RU"/>
          <w:w w:val="100"/>
          <w:spacing w:val="0"/>
          <w:color w:val="000000"/>
          <w:position w:val="0"/>
        </w:rPr>
        <w:t>Довод Заявителя не нашел своего подтверждения.</w:t>
      </w:r>
    </w:p>
    <w:p>
      <w:pPr>
        <w:pStyle w:val="Style24"/>
        <w:numPr>
          <w:ilvl w:val="0"/>
          <w:numId w:val="3"/>
        </w:numPr>
        <w:widowControl w:val="0"/>
        <w:keepNext w:val="0"/>
        <w:keepLines w:val="0"/>
        <w:shd w:val="clear" w:color="auto" w:fill="auto"/>
        <w:bidi w:val="0"/>
        <w:jc w:val="both"/>
        <w:spacing w:before="0" w:after="0" w:line="362" w:lineRule="exact"/>
        <w:ind w:left="20" w:right="0" w:firstLine="700"/>
      </w:pPr>
      <w:r>
        <w:rPr>
          <w:lang w:val="ru-RU" w:eastAsia="ru-RU" w:bidi="ru-RU"/>
          <w:w w:val="100"/>
          <w:spacing w:val="0"/>
          <w:color w:val="000000"/>
          <w:position w:val="0"/>
        </w:rPr>
        <w:t xml:space="preserve"> По второму доводу.</w:t>
      </w:r>
    </w:p>
    <w:p>
      <w:pPr>
        <w:pStyle w:val="Style24"/>
        <w:widowControl w:val="0"/>
        <w:keepNext w:val="0"/>
        <w:keepLines w:val="0"/>
        <w:shd w:val="clear" w:color="auto" w:fill="auto"/>
        <w:bidi w:val="0"/>
        <w:jc w:val="both"/>
        <w:spacing w:before="0" w:after="0" w:line="362" w:lineRule="exact"/>
        <w:ind w:left="20" w:right="20" w:firstLine="700"/>
      </w:pPr>
      <w:r>
        <w:rPr>
          <w:lang w:val="ru-RU" w:eastAsia="ru-RU" w:bidi="ru-RU"/>
          <w:w w:val="100"/>
          <w:spacing w:val="0"/>
          <w:color w:val="000000"/>
          <w:position w:val="0"/>
        </w:rPr>
        <w:t>Комиссией Управления установлено, что 25 апреля 2017 года Заказчиком внесены изменения в аукционную документацию и из описания объекта закупки приведенного в техническом задании исключено требование к характеристикам закупаемого товара. Так, Заказчик исключил из описания объекта закупки такую характеристику товара как наличие установленного программного обеспечения.</w:t>
      </w:r>
    </w:p>
    <w:p>
      <w:pPr>
        <w:pStyle w:val="Style24"/>
        <w:widowControl w:val="0"/>
        <w:keepNext w:val="0"/>
        <w:keepLines w:val="0"/>
        <w:shd w:val="clear" w:color="auto" w:fill="auto"/>
        <w:bidi w:val="0"/>
        <w:jc w:val="both"/>
        <w:spacing w:before="0" w:after="0" w:line="362" w:lineRule="exact"/>
        <w:ind w:left="20" w:right="20" w:firstLine="540"/>
      </w:pPr>
      <w:r>
        <w:rPr>
          <w:lang w:val="ru-RU" w:eastAsia="ru-RU" w:bidi="ru-RU"/>
          <w:w w:val="100"/>
          <w:spacing w:val="0"/>
          <w:color w:val="000000"/>
          <w:position w:val="0"/>
        </w:rPr>
        <w:t>Согласно части 6 статьи 65 Закона о контрактной системе, Заказчик по собственной инициативе или в соответствии с поступившим запросом о даче разъяснений положений документации об электронном аукционе вправе принять решение о внесении изменений в документацию, при этом изменение объекта закупки и увеличение размера обеспечения данных заявок не допускаются.</w:t>
      </w:r>
    </w:p>
    <w:p>
      <w:pPr>
        <w:pStyle w:val="Style24"/>
        <w:widowControl w:val="0"/>
        <w:keepNext w:val="0"/>
        <w:keepLines w:val="0"/>
        <w:shd w:val="clear" w:color="auto" w:fill="auto"/>
        <w:bidi w:val="0"/>
        <w:jc w:val="both"/>
        <w:spacing w:before="0" w:after="0" w:line="362" w:lineRule="exact"/>
        <w:ind w:left="20" w:right="20" w:firstLine="700"/>
      </w:pPr>
      <w:r>
        <w:rPr>
          <w:lang w:val="ru-RU" w:eastAsia="ru-RU" w:bidi="ru-RU"/>
          <w:w w:val="100"/>
          <w:spacing w:val="0"/>
          <w:color w:val="000000"/>
          <w:position w:val="0"/>
        </w:rPr>
        <w:t>Комиссией Управления установлено, что предметом Аукциона, является поставка компьютерной техники, при этом внесенными изменениями Заказчик не изменил объект закупки, так как компьютерная техника по-прежнему является объектом закупки.</w:t>
      </w:r>
    </w:p>
    <w:p>
      <w:pPr>
        <w:pStyle w:val="Style24"/>
        <w:widowControl w:val="0"/>
        <w:keepNext w:val="0"/>
        <w:keepLines w:val="0"/>
        <w:shd w:val="clear" w:color="auto" w:fill="auto"/>
        <w:bidi w:val="0"/>
        <w:jc w:val="both"/>
        <w:spacing w:before="0" w:after="0" w:line="362" w:lineRule="exact"/>
        <w:ind w:left="20" w:right="20" w:firstLine="700"/>
      </w:pPr>
      <w:r>
        <w:rPr>
          <w:lang w:val="ru-RU" w:eastAsia="ru-RU" w:bidi="ru-RU"/>
          <w:w w:val="100"/>
          <w:spacing w:val="0"/>
          <w:color w:val="000000"/>
          <w:position w:val="0"/>
        </w:rPr>
        <w:t>Дополнительно представитель Заказчика пояснил, что при внесении изменений в техническое задание, дополнительно были собраны новые коммерческие предложения, с целью проверки расчета начальной максимальной цены контракта. Полученные коммерческие предложения, по мнению Заказчика, подтвердили неизменность суммы начальной максимальной цены контракта.</w:t>
      </w:r>
    </w:p>
    <w:p>
      <w:pPr>
        <w:pStyle w:val="Style24"/>
        <w:widowControl w:val="0"/>
        <w:keepNext w:val="0"/>
        <w:keepLines w:val="0"/>
        <w:shd w:val="clear" w:color="auto" w:fill="auto"/>
        <w:bidi w:val="0"/>
        <w:jc w:val="both"/>
        <w:spacing w:before="0" w:after="0" w:line="362" w:lineRule="exact"/>
        <w:ind w:left="20" w:right="20" w:firstLine="540"/>
      </w:pPr>
      <w:r>
        <w:rPr>
          <w:lang w:val="ru-RU" w:eastAsia="ru-RU" w:bidi="ru-RU"/>
          <w:w w:val="100"/>
          <w:spacing w:val="0"/>
          <w:color w:val="000000"/>
          <w:position w:val="0"/>
        </w:rPr>
        <w:t>Комиссия Управления приходит к выводу о том, что изменение описания объекта закупки и проведение сбора новых коммерческих предложений по цене Заказчик производил в соответствии с требованиями Закона о контрактной системе в пределах полномочий определенных статьей 22, частью 6 статьи 65 Закона о контрактной системе, то есть правомерно внес изменения в техническое задание, без изменения объекта закупки.</w:t>
      </w:r>
    </w:p>
    <w:p>
      <w:pPr>
        <w:pStyle w:val="Style24"/>
        <w:widowControl w:val="0"/>
        <w:keepNext w:val="0"/>
        <w:keepLines w:val="0"/>
        <w:shd w:val="clear" w:color="auto" w:fill="auto"/>
        <w:bidi w:val="0"/>
        <w:jc w:val="both"/>
        <w:spacing w:before="0" w:after="0" w:line="362" w:lineRule="exact"/>
        <w:ind w:left="20" w:right="20" w:firstLine="540"/>
      </w:pPr>
      <w:r>
        <w:rPr>
          <w:lang w:val="ru-RU" w:eastAsia="ru-RU" w:bidi="ru-RU"/>
          <w:w w:val="100"/>
          <w:spacing w:val="0"/>
          <w:color w:val="000000"/>
          <w:position w:val="0"/>
        </w:rPr>
        <w:t>Аналогичная позиция нашла свое отражение в постановлении Девятого арбитражного апелляционного суда (дело №А40-244495/15).</w:t>
      </w:r>
    </w:p>
    <w:p>
      <w:pPr>
        <w:pStyle w:val="Style24"/>
        <w:widowControl w:val="0"/>
        <w:keepNext w:val="0"/>
        <w:keepLines w:val="0"/>
        <w:shd w:val="clear" w:color="auto" w:fill="auto"/>
        <w:bidi w:val="0"/>
        <w:jc w:val="both"/>
        <w:spacing w:before="0" w:after="0" w:line="362" w:lineRule="exact"/>
        <w:ind w:left="20" w:right="20" w:firstLine="540"/>
      </w:pPr>
      <w:r>
        <w:rPr>
          <w:lang w:val="ru-RU" w:eastAsia="ru-RU" w:bidi="ru-RU"/>
          <w:w w:val="100"/>
          <w:spacing w:val="0"/>
          <w:color w:val="000000"/>
          <w:position w:val="0"/>
        </w:rPr>
        <w:t>В связи с вышеизложенным Комиссия Управления приходит к выводу о том, что довод Заявителя не нашел своего подтверждения.</w:t>
      </w:r>
    </w:p>
    <w:p>
      <w:pPr>
        <w:pStyle w:val="Style24"/>
        <w:widowControl w:val="0"/>
        <w:keepNext w:val="0"/>
        <w:keepLines w:val="0"/>
        <w:shd w:val="clear" w:color="auto" w:fill="auto"/>
        <w:bidi w:val="0"/>
        <w:jc w:val="both"/>
        <w:spacing w:before="0" w:after="0" w:line="362" w:lineRule="exact"/>
        <w:ind w:left="20" w:right="20" w:firstLine="540"/>
      </w:pPr>
      <w:r>
        <w:rPr>
          <w:lang w:val="ru-RU" w:eastAsia="ru-RU" w:bidi="ru-RU"/>
          <w:w w:val="100"/>
          <w:spacing w:val="0"/>
          <w:color w:val="000000"/>
          <w:position w:val="0"/>
        </w:rPr>
        <w:t>В то же время Комиссия Управления полагает, что в связи с тем, что при изменении описания объекта закупки НМЦК осталась неизменной Заказчиком могли быть допущены нарушения при обосновании НМЦК, контроль за которым в соответствии с пунктом 3 части 8 статьи 99 Закона о контрактной системе возложен на органы внутреннего государственного (муниципального) финансового контроля.</w:t>
      </w:r>
    </w:p>
    <w:p>
      <w:pPr>
        <w:pStyle w:val="Style24"/>
        <w:tabs>
          <w:tab w:leader="none" w:pos="4918" w:val="left"/>
        </w:tabs>
        <w:widowControl w:val="0"/>
        <w:keepNext w:val="0"/>
        <w:keepLines w:val="0"/>
        <w:shd w:val="clear" w:color="auto" w:fill="auto"/>
        <w:bidi w:val="0"/>
        <w:jc w:val="both"/>
        <w:spacing w:before="0" w:after="0" w:line="362" w:lineRule="exact"/>
        <w:ind w:left="20" w:right="0" w:firstLine="540"/>
      </w:pPr>
      <w:r>
        <w:rPr>
          <w:lang w:val="ru-RU" w:eastAsia="ru-RU" w:bidi="ru-RU"/>
          <w:w w:val="100"/>
          <w:spacing w:val="0"/>
          <w:color w:val="000000"/>
          <w:position w:val="0"/>
        </w:rPr>
        <w:t>Руководствуясь статьями 99,</w:t>
        <w:tab/>
        <w:t>106 Закона о контрактной системе,</w:t>
      </w:r>
    </w:p>
    <w:p>
      <w:pPr>
        <w:pStyle w:val="Style24"/>
        <w:widowControl w:val="0"/>
        <w:keepNext w:val="0"/>
        <w:keepLines w:val="0"/>
        <w:shd w:val="clear" w:color="auto" w:fill="auto"/>
        <w:bidi w:val="0"/>
        <w:jc w:val="both"/>
        <w:spacing w:before="0" w:after="126" w:line="362" w:lineRule="exact"/>
        <w:ind w:left="20" w:right="0" w:firstLine="0"/>
      </w:pPr>
      <w:r>
        <w:rPr>
          <w:lang w:val="ru-RU" w:eastAsia="ru-RU" w:bidi="ru-RU"/>
          <w:w w:val="100"/>
          <w:spacing w:val="0"/>
          <w:color w:val="000000"/>
          <w:position w:val="0"/>
        </w:rPr>
        <w:t>Административным регламентом, Комиссия Управления,</w:t>
      </w:r>
    </w:p>
    <w:p>
      <w:pPr>
        <w:pStyle w:val="Style29"/>
        <w:widowControl w:val="0"/>
        <w:keepNext/>
        <w:keepLines/>
        <w:shd w:val="clear" w:color="auto" w:fill="auto"/>
        <w:bidi w:val="0"/>
        <w:jc w:val="left"/>
        <w:spacing w:before="0" w:after="78" w:line="280" w:lineRule="exact"/>
        <w:ind w:left="4560" w:right="0" w:firstLine="0"/>
      </w:pPr>
      <w:bookmarkStart w:id="2" w:name="bookmark2"/>
      <w:r>
        <w:rPr>
          <w:lang w:val="ru-RU" w:eastAsia="ru-RU" w:bidi="ru-RU"/>
          <w:w w:val="100"/>
          <w:color w:val="000000"/>
          <w:position w:val="0"/>
        </w:rPr>
        <w:t>РЕШИЛА:</w:t>
      </w:r>
      <w:bookmarkEnd w:id="2"/>
    </w:p>
    <w:p>
      <w:pPr>
        <w:pStyle w:val="Style24"/>
        <w:numPr>
          <w:ilvl w:val="0"/>
          <w:numId w:val="5"/>
        </w:numPr>
        <w:tabs>
          <w:tab w:leader="none" w:pos="1042" w:val="left"/>
        </w:tabs>
        <w:widowControl w:val="0"/>
        <w:keepNext w:val="0"/>
        <w:keepLines w:val="0"/>
        <w:shd w:val="clear" w:color="auto" w:fill="auto"/>
        <w:bidi w:val="0"/>
        <w:jc w:val="both"/>
        <w:spacing w:before="0" w:after="0" w:line="377" w:lineRule="exact"/>
        <w:ind w:left="20" w:right="20" w:firstLine="700"/>
      </w:pPr>
      <w:r>
        <w:rPr>
          <w:lang w:val="ru-RU" w:eastAsia="ru-RU" w:bidi="ru-RU"/>
          <w:w w:val="100"/>
          <w:spacing w:val="0"/>
          <w:color w:val="000000"/>
          <w:position w:val="0"/>
        </w:rPr>
        <w:t>Признать жалобу Автономной некоммерческой организации содействия юридическому просвещению «Центр юридического мониторинга» на действия Государственного бюджетного образовательного учреждения города Севастополя «Образовательный комплекс «Бухта Казачья» при проведении электронного аукциона на поставку компьютерной техники, извещение № 0374500000417000008, необоснованной.</w:t>
      </w:r>
    </w:p>
    <w:p>
      <w:pPr>
        <w:pStyle w:val="Style24"/>
        <w:numPr>
          <w:ilvl w:val="0"/>
          <w:numId w:val="5"/>
        </w:numPr>
        <w:widowControl w:val="0"/>
        <w:keepNext w:val="0"/>
        <w:keepLines w:val="0"/>
        <w:shd w:val="clear" w:color="auto" w:fill="auto"/>
        <w:bidi w:val="0"/>
        <w:jc w:val="both"/>
        <w:spacing w:before="0" w:after="0" w:line="381" w:lineRule="exact"/>
        <w:ind w:left="40" w:right="40" w:firstLine="700"/>
      </w:pPr>
      <w:r>
        <w:rPr>
          <w:lang w:val="ru-RU" w:eastAsia="ru-RU" w:bidi="ru-RU"/>
          <w:w w:val="100"/>
          <w:spacing w:val="0"/>
          <w:color w:val="000000"/>
          <w:position w:val="0"/>
        </w:rPr>
        <w:t xml:space="preserve"> Снять ограничения на определение поставщика (подрядчика, исполнителя) путем проведения Аукциона, установленные уведомлением Крымского У ФАС России о принятии жалобы к рассмотрению от 28 апреля 2017 года №8/1847с.</w:t>
      </w:r>
    </w:p>
    <w:p>
      <w:pPr>
        <w:pStyle w:val="Style24"/>
        <w:numPr>
          <w:ilvl w:val="0"/>
          <w:numId w:val="5"/>
        </w:numPr>
        <w:widowControl w:val="0"/>
        <w:keepNext w:val="0"/>
        <w:keepLines w:val="0"/>
        <w:shd w:val="clear" w:color="auto" w:fill="auto"/>
        <w:bidi w:val="0"/>
        <w:jc w:val="both"/>
        <w:spacing w:before="0" w:after="357" w:line="381" w:lineRule="exact"/>
        <w:ind w:left="40" w:right="40" w:firstLine="700"/>
      </w:pPr>
      <w:r>
        <w:rPr>
          <w:lang w:val="ru-RU" w:eastAsia="ru-RU" w:bidi="ru-RU"/>
          <w:w w:val="100"/>
          <w:spacing w:val="0"/>
          <w:color w:val="000000"/>
          <w:position w:val="0"/>
        </w:rPr>
        <w:t xml:space="preserve"> Материалы дела передать в органы внутреннего государственного финансового контроля для проведения проверки по факту обоснования начальной максимальной цены контракта в пределах полномочий предусмотренных пунктом 3 части 8 статьи 99 Закона о контрактной системе.</w:t>
      </w:r>
    </w:p>
    <w:p>
      <w:pPr>
        <w:pStyle w:val="Style3"/>
        <w:widowControl w:val="0"/>
        <w:keepNext w:val="0"/>
        <w:keepLines w:val="0"/>
        <w:shd w:val="clear" w:color="auto" w:fill="auto"/>
        <w:bidi w:val="0"/>
        <w:jc w:val="both"/>
        <w:spacing w:before="0" w:after="0" w:line="310" w:lineRule="exact"/>
        <w:ind w:left="40" w:right="40" w:firstLine="700"/>
      </w:pPr>
      <w:r>
        <w:rPr>
          <w:lang w:val="ru-RU" w:eastAsia="ru-RU" w:bidi="ru-RU"/>
          <w:w w:val="100"/>
          <w:spacing w:val="0"/>
          <w:color w:val="000000"/>
          <w:position w:val="0"/>
        </w:rPr>
        <w:t>В соответствии с частью 9 статьи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pPr>
        <w:pStyle w:val="Style3"/>
        <w:widowControl w:val="0"/>
        <w:keepNext w:val="0"/>
        <w:keepLines w:val="0"/>
        <w:shd w:val="clear" w:color="auto" w:fill="auto"/>
        <w:bidi w:val="0"/>
        <w:jc w:val="both"/>
        <w:spacing w:before="0" w:after="0" w:line="310" w:lineRule="exact"/>
        <w:ind w:left="40" w:right="40" w:firstLine="700"/>
      </w:pPr>
      <w:r>
        <w:rPr>
          <w:lang w:val="ru-RU" w:eastAsia="ru-RU" w:bidi="ru-RU"/>
          <w:w w:val="100"/>
          <w:spacing w:val="0"/>
          <w:color w:val="000000"/>
          <w:position w:val="0"/>
        </w:rPr>
        <w:t>Дела об обжаловании решения контрольного органа в сфере закупок подведомственны арбитражному суду.</w:t>
      </w:r>
    </w:p>
    <w:p>
      <w:pPr>
        <w:pStyle w:val="Style3"/>
        <w:widowControl w:val="0"/>
        <w:keepNext w:val="0"/>
        <w:keepLines w:val="0"/>
        <w:shd w:val="clear" w:color="auto" w:fill="auto"/>
        <w:bidi w:val="0"/>
        <w:jc w:val="both"/>
        <w:spacing w:before="0" w:after="0" w:line="310" w:lineRule="exact"/>
        <w:ind w:left="40" w:right="40" w:firstLine="700"/>
      </w:pPr>
      <w:r>
        <w:rPr>
          <w:lang w:val="ru-RU" w:eastAsia="ru-RU" w:bidi="ru-RU"/>
          <w:w w:val="100"/>
          <w:spacing w:val="0"/>
          <w:color w:val="000000"/>
          <w:position w:val="0"/>
        </w:rPr>
        <w:t>В рамках досудебного (внесудебного) обжалования могут быть обжалованы действия (бездействие) контрольного органа, его должностных лиц и решений, принятых (осуществляемых) ими в ходе исполнения контрольных функций в ФАС России, в порядке, предусмотренном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p>
    <w:sectPr>
      <w:type w:val="continuous"/>
      <w:pgSz w:w="11906" w:h="16838"/>
      <w:pgMar w:top="1118" w:left="700" w:right="700" w:bottom="899" w:header="0" w:footer="3" w:gutter="339"/>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4) Exact"/>
    <w:basedOn w:val="DefaultParagraphFont"/>
    <w:rPr>
      <w:b w:val="0"/>
      <w:bCs w:val="0"/>
      <w:i w:val="0"/>
      <w:iCs w:val="0"/>
      <w:u w:val="none"/>
      <w:strike w:val="0"/>
      <w:smallCaps w:val="0"/>
      <w:sz w:val="21"/>
      <w:szCs w:val="21"/>
      <w:rFonts w:ascii="Times New Roman" w:eastAsia="Times New Roman" w:hAnsi="Times New Roman" w:cs="Times New Roman"/>
      <w:spacing w:val="1"/>
    </w:rPr>
  </w:style>
  <w:style w:type="character" w:customStyle="1" w:styleId="CharStyle5">
    <w:name w:val="Основной текст (4) Exact"/>
    <w:basedOn w:val="CharStyle17"/>
    <w:rPr>
      <w:sz w:val="21"/>
      <w:szCs w:val="21"/>
      <w:spacing w:val="1"/>
    </w:rPr>
  </w:style>
  <w:style w:type="character" w:customStyle="1" w:styleId="CharStyle7">
    <w:name w:val="Основной текст (2)_"/>
    <w:basedOn w:val="DefaultParagraphFont"/>
    <w:link w:val="Style6"/>
    <w:rPr>
      <w:b/>
      <w:bCs/>
      <w:i w:val="0"/>
      <w:iCs w:val="0"/>
      <w:u w:val="none"/>
      <w:strike w:val="0"/>
      <w:smallCaps w:val="0"/>
      <w:sz w:val="22"/>
      <w:szCs w:val="22"/>
      <w:rFonts w:ascii="Times New Roman" w:eastAsia="Times New Roman" w:hAnsi="Times New Roman" w:cs="Times New Roman"/>
    </w:rPr>
  </w:style>
  <w:style w:type="character" w:customStyle="1" w:styleId="CharStyle8">
    <w:name w:val="Основной текст (2)"/>
    <w:basedOn w:val="CharStyle7"/>
    <w:rPr>
      <w:lang w:val="ru-RU" w:eastAsia="ru-RU" w:bidi="ru-RU"/>
      <w:w w:val="100"/>
      <w:spacing w:val="0"/>
      <w:color w:val="000000"/>
      <w:position w:val="0"/>
    </w:rPr>
  </w:style>
  <w:style w:type="character" w:customStyle="1" w:styleId="CharStyle10">
    <w:name w:val="Основной текст (3)_"/>
    <w:basedOn w:val="DefaultParagraphFont"/>
    <w:link w:val="Style9"/>
    <w:rPr>
      <w:b/>
      <w:bCs/>
      <w:i w:val="0"/>
      <w:iCs w:val="0"/>
      <w:u w:val="none"/>
      <w:strike w:val="0"/>
      <w:smallCaps w:val="0"/>
      <w:sz w:val="18"/>
      <w:szCs w:val="18"/>
      <w:rFonts w:ascii="Times New Roman" w:eastAsia="Times New Roman" w:hAnsi="Times New Roman" w:cs="Times New Roman"/>
    </w:rPr>
  </w:style>
  <w:style w:type="character" w:customStyle="1" w:styleId="CharStyle11">
    <w:name w:val="Основной текст (3)"/>
    <w:basedOn w:val="CharStyle10"/>
    <w:rPr>
      <w:lang w:val="ru-RU" w:eastAsia="ru-RU" w:bidi="ru-RU"/>
      <w:w w:val="100"/>
      <w:spacing w:val="0"/>
      <w:color w:val="000000"/>
      <w:position w:val="0"/>
    </w:rPr>
  </w:style>
  <w:style w:type="character" w:customStyle="1" w:styleId="CharStyle12">
    <w:name w:val="Основной текст (3)"/>
    <w:basedOn w:val="CharStyle10"/>
    <w:rPr>
      <w:lang w:val="en-US" w:eastAsia="en-US" w:bidi="en-US"/>
      <w:u w:val="single"/>
      <w:w w:val="100"/>
      <w:spacing w:val="0"/>
      <w:color w:val="000000"/>
      <w:position w:val="0"/>
    </w:rPr>
  </w:style>
  <w:style w:type="character" w:customStyle="1" w:styleId="CharStyle14">
    <w:name w:val="Заголовок №1_"/>
    <w:basedOn w:val="DefaultParagraphFont"/>
    <w:link w:val="Style13"/>
    <w:rPr>
      <w:b w:val="0"/>
      <w:bCs w:val="0"/>
      <w:i/>
      <w:iCs/>
      <w:u w:val="none"/>
      <w:strike w:val="0"/>
      <w:smallCaps w:val="0"/>
      <w:sz w:val="42"/>
      <w:szCs w:val="42"/>
      <w:rFonts w:ascii="Times New Roman" w:eastAsia="Times New Roman" w:hAnsi="Times New Roman" w:cs="Times New Roman"/>
      <w:spacing w:val="-70"/>
    </w:rPr>
  </w:style>
  <w:style w:type="character" w:customStyle="1" w:styleId="CharStyle15">
    <w:name w:val="Заголовок №1"/>
    <w:basedOn w:val="CharStyle14"/>
    <w:rPr>
      <w:lang w:val="ru-RU" w:eastAsia="ru-RU" w:bidi="ru-RU"/>
      <w:w w:val="100"/>
      <w:color w:val="000000"/>
      <w:position w:val="0"/>
    </w:rPr>
  </w:style>
  <w:style w:type="character" w:customStyle="1" w:styleId="CharStyle16">
    <w:name w:val="Заголовок №1 + 25 pt,Полужирный,Интервал -2 pt"/>
    <w:basedOn w:val="CharStyle14"/>
    <w:rPr>
      <w:lang w:val="ru-RU" w:eastAsia="ru-RU" w:bidi="ru-RU"/>
      <w:b/>
      <w:bCs/>
      <w:sz w:val="50"/>
      <w:szCs w:val="50"/>
      <w:w w:val="100"/>
      <w:spacing w:val="-50"/>
      <w:color w:val="000000"/>
      <w:position w:val="0"/>
    </w:rPr>
  </w:style>
  <w:style w:type="character" w:customStyle="1" w:styleId="CharStyle17">
    <w:name w:val="Основной текст (4)_"/>
    <w:basedOn w:val="DefaultParagraphFont"/>
    <w:link w:val="Style3"/>
    <w:rPr>
      <w:b w:val="0"/>
      <w:bCs w:val="0"/>
      <w:i w:val="0"/>
      <w:iCs w:val="0"/>
      <w:u w:val="none"/>
      <w:strike w:val="0"/>
      <w:smallCaps w:val="0"/>
      <w:sz w:val="23"/>
      <w:szCs w:val="23"/>
      <w:rFonts w:ascii="Times New Roman" w:eastAsia="Times New Roman" w:hAnsi="Times New Roman" w:cs="Times New Roman"/>
    </w:rPr>
  </w:style>
  <w:style w:type="character" w:customStyle="1" w:styleId="CharStyle18">
    <w:name w:val="Основной текст (4)"/>
    <w:basedOn w:val="CharStyle17"/>
    <w:rPr>
      <w:lang w:val="ru-RU" w:eastAsia="ru-RU" w:bidi="ru-RU"/>
      <w:w w:val="100"/>
      <w:spacing w:val="0"/>
      <w:color w:val="000000"/>
      <w:position w:val="0"/>
    </w:rPr>
  </w:style>
  <w:style w:type="character" w:customStyle="1" w:styleId="CharStyle19">
    <w:name w:val="Основной текст (5)_"/>
    <w:basedOn w:val="DefaultParagraphFont"/>
    <w:link w:val="Style21"/>
    <w:rPr>
      <w:b/>
      <w:bCs/>
      <w:i w:val="0"/>
      <w:iCs w:val="0"/>
      <w:u w:val="none"/>
      <w:strike w:val="0"/>
      <w:smallCaps w:val="0"/>
      <w:sz w:val="26"/>
      <w:szCs w:val="26"/>
      <w:rFonts w:ascii="Times New Roman" w:eastAsia="Times New Roman" w:hAnsi="Times New Roman" w:cs="Times New Roman"/>
    </w:rPr>
  </w:style>
  <w:style w:type="character" w:customStyle="1" w:styleId="CharStyle20">
    <w:name w:val="Основной текст (5)"/>
    <w:basedOn w:val="CharStyle19"/>
    <w:rPr>
      <w:lang w:val="ru-RU" w:eastAsia="ru-RU" w:bidi="ru-RU"/>
      <w:u w:val="single"/>
      <w:w w:val="100"/>
      <w:spacing w:val="0"/>
      <w:color w:val="000000"/>
      <w:position w:val="0"/>
    </w:rPr>
  </w:style>
  <w:style w:type="character" w:customStyle="1" w:styleId="CharStyle22">
    <w:name w:val="Основной текст (5) + Не полужирный"/>
    <w:basedOn w:val="CharStyle19"/>
    <w:rPr>
      <w:lang w:val="ru-RU" w:eastAsia="ru-RU" w:bidi="ru-RU"/>
      <w:b/>
      <w:bCs/>
      <w:w w:val="100"/>
      <w:spacing w:val="0"/>
      <w:color w:val="000000"/>
      <w:position w:val="0"/>
    </w:rPr>
  </w:style>
  <w:style w:type="character" w:customStyle="1" w:styleId="CharStyle23">
    <w:name w:val="Основной текст (5) + Не полужирный"/>
    <w:basedOn w:val="CharStyle19"/>
    <w:rPr>
      <w:lang w:val="en-US" w:eastAsia="en-US" w:bidi="en-US"/>
      <w:b/>
      <w:bCs/>
      <w:u w:val="single"/>
      <w:w w:val="100"/>
      <w:spacing w:val="0"/>
      <w:color w:val="000000"/>
      <w:position w:val="0"/>
    </w:rPr>
  </w:style>
  <w:style w:type="character" w:customStyle="1" w:styleId="CharStyle25">
    <w:name w:val="Основной текст_"/>
    <w:basedOn w:val="DefaultParagraphFont"/>
    <w:link w:val="Style24"/>
    <w:rPr>
      <w:b w:val="0"/>
      <w:bCs w:val="0"/>
      <w:i w:val="0"/>
      <w:iCs w:val="0"/>
      <w:u w:val="none"/>
      <w:strike w:val="0"/>
      <w:smallCaps w:val="0"/>
      <w:sz w:val="26"/>
      <w:szCs w:val="26"/>
      <w:rFonts w:ascii="Times New Roman" w:eastAsia="Times New Roman" w:hAnsi="Times New Roman" w:cs="Times New Roman"/>
    </w:rPr>
  </w:style>
  <w:style w:type="character" w:customStyle="1" w:styleId="CharStyle26">
    <w:name w:val="Основной текст"/>
    <w:basedOn w:val="CharStyle25"/>
    <w:rPr>
      <w:lang w:val="en-US" w:eastAsia="en-US" w:bidi="en-US"/>
      <w:u w:val="single"/>
      <w:w w:val="100"/>
      <w:spacing w:val="0"/>
      <w:color w:val="000000"/>
      <w:position w:val="0"/>
    </w:rPr>
  </w:style>
  <w:style w:type="character" w:customStyle="1" w:styleId="CharStyle28">
    <w:name w:val="Заголовок №2_"/>
    <w:basedOn w:val="DefaultParagraphFont"/>
    <w:link w:val="Style27"/>
    <w:rPr>
      <w:b/>
      <w:bCs/>
      <w:i w:val="0"/>
      <w:iCs w:val="0"/>
      <w:u w:val="none"/>
      <w:strike w:val="0"/>
      <w:smallCaps w:val="0"/>
      <w:sz w:val="36"/>
      <w:szCs w:val="36"/>
      <w:rFonts w:ascii="Times New Roman" w:eastAsia="Times New Roman" w:hAnsi="Times New Roman" w:cs="Times New Roman"/>
      <w:spacing w:val="70"/>
    </w:rPr>
  </w:style>
  <w:style w:type="character" w:customStyle="1" w:styleId="CharStyle30">
    <w:name w:val="Заголовок №3_"/>
    <w:basedOn w:val="DefaultParagraphFont"/>
    <w:link w:val="Style29"/>
    <w:rPr>
      <w:b/>
      <w:bCs/>
      <w:i w:val="0"/>
      <w:iCs w:val="0"/>
      <w:u w:val="none"/>
      <w:strike w:val="0"/>
      <w:smallCaps w:val="0"/>
      <w:sz w:val="28"/>
      <w:szCs w:val="28"/>
      <w:rFonts w:ascii="Times New Roman" w:eastAsia="Times New Roman" w:hAnsi="Times New Roman" w:cs="Times New Roman"/>
      <w:spacing w:val="60"/>
    </w:rPr>
  </w:style>
  <w:style w:type="paragraph" w:customStyle="1" w:styleId="Style3">
    <w:name w:val="Основной текст (4)"/>
    <w:basedOn w:val="Normal"/>
    <w:link w:val="CharStyle17"/>
    <w:pPr>
      <w:widowControl w:val="0"/>
      <w:shd w:val="clear" w:color="auto" w:fill="FFFFFF"/>
      <w:spacing w:before="360" w:line="0"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6">
    <w:name w:val="Основной текст (2)"/>
    <w:basedOn w:val="Normal"/>
    <w:link w:val="CharStyle7"/>
    <w:pPr>
      <w:widowControl w:val="0"/>
      <w:shd w:val="clear" w:color="auto" w:fill="FFFFFF"/>
      <w:jc w:val="center"/>
      <w:spacing w:before="60" w:after="60" w:line="272" w:lineRule="exact"/>
    </w:pPr>
    <w:rPr>
      <w:b/>
      <w:bCs/>
      <w:i w:val="0"/>
      <w:iCs w:val="0"/>
      <w:u w:val="none"/>
      <w:strike w:val="0"/>
      <w:smallCaps w:val="0"/>
      <w:sz w:val="22"/>
      <w:szCs w:val="22"/>
      <w:rFonts w:ascii="Times New Roman" w:eastAsia="Times New Roman" w:hAnsi="Times New Roman" w:cs="Times New Roman"/>
    </w:rPr>
  </w:style>
  <w:style w:type="paragraph" w:customStyle="1" w:styleId="Style9">
    <w:name w:val="Основной текст (3)"/>
    <w:basedOn w:val="Normal"/>
    <w:link w:val="CharStyle10"/>
    <w:pPr>
      <w:widowControl w:val="0"/>
      <w:shd w:val="clear" w:color="auto" w:fill="FFFFFF"/>
      <w:jc w:val="center"/>
      <w:spacing w:before="60" w:after="180" w:line="224" w:lineRule="exact"/>
    </w:pPr>
    <w:rPr>
      <w:b/>
      <w:bCs/>
      <w:i w:val="0"/>
      <w:iCs w:val="0"/>
      <w:u w:val="none"/>
      <w:strike w:val="0"/>
      <w:smallCaps w:val="0"/>
      <w:sz w:val="18"/>
      <w:szCs w:val="18"/>
      <w:rFonts w:ascii="Times New Roman" w:eastAsia="Times New Roman" w:hAnsi="Times New Roman" w:cs="Times New Roman"/>
    </w:rPr>
  </w:style>
  <w:style w:type="paragraph" w:customStyle="1" w:styleId="Style13">
    <w:name w:val="Заголовок №1"/>
    <w:basedOn w:val="Normal"/>
    <w:link w:val="CharStyle14"/>
    <w:pPr>
      <w:widowControl w:val="0"/>
      <w:shd w:val="clear" w:color="auto" w:fill="FFFFFF"/>
      <w:outlineLvl w:val="0"/>
      <w:spacing w:before="180" w:after="360" w:line="0" w:lineRule="exact"/>
    </w:pPr>
    <w:rPr>
      <w:b w:val="0"/>
      <w:bCs w:val="0"/>
      <w:i/>
      <w:iCs/>
      <w:u w:val="none"/>
      <w:strike w:val="0"/>
      <w:smallCaps w:val="0"/>
      <w:sz w:val="42"/>
      <w:szCs w:val="42"/>
      <w:rFonts w:ascii="Times New Roman" w:eastAsia="Times New Roman" w:hAnsi="Times New Roman" w:cs="Times New Roman"/>
      <w:spacing w:val="-70"/>
    </w:rPr>
  </w:style>
  <w:style w:type="paragraph" w:customStyle="1" w:styleId="Style21">
    <w:name w:val="Основной текст (5)"/>
    <w:basedOn w:val="Normal"/>
    <w:link w:val="CharStyle19"/>
    <w:pPr>
      <w:widowControl w:val="0"/>
      <w:shd w:val="clear" w:color="auto" w:fill="FFFFFF"/>
      <w:spacing w:after="1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24">
    <w:name w:val="Основной текст"/>
    <w:basedOn w:val="Normal"/>
    <w:link w:val="CharStyle25"/>
    <w:pPr>
      <w:widowControl w:val="0"/>
      <w:shd w:val="clear" w:color="auto" w:fill="FFFFFF"/>
      <w:spacing w:after="12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27">
    <w:name w:val="Заголовок №2"/>
    <w:basedOn w:val="Normal"/>
    <w:link w:val="CharStyle28"/>
    <w:pPr>
      <w:widowControl w:val="0"/>
      <w:shd w:val="clear" w:color="auto" w:fill="FFFFFF"/>
      <w:jc w:val="right"/>
      <w:outlineLvl w:val="1"/>
      <w:spacing w:before="300" w:line="0" w:lineRule="exact"/>
    </w:pPr>
    <w:rPr>
      <w:b/>
      <w:bCs/>
      <w:i w:val="0"/>
      <w:iCs w:val="0"/>
      <w:u w:val="none"/>
      <w:strike w:val="0"/>
      <w:smallCaps w:val="0"/>
      <w:sz w:val="36"/>
      <w:szCs w:val="36"/>
      <w:rFonts w:ascii="Times New Roman" w:eastAsia="Times New Roman" w:hAnsi="Times New Roman" w:cs="Times New Roman"/>
      <w:spacing w:val="70"/>
    </w:rPr>
  </w:style>
  <w:style w:type="paragraph" w:customStyle="1" w:styleId="Style29">
    <w:name w:val="Заголовок №3"/>
    <w:basedOn w:val="Normal"/>
    <w:link w:val="CharStyle30"/>
    <w:pPr>
      <w:widowControl w:val="0"/>
      <w:shd w:val="clear" w:color="auto" w:fill="FFFFFF"/>
      <w:outlineLvl w:val="2"/>
      <w:spacing w:before="60" w:after="240" w:line="0" w:lineRule="exact"/>
    </w:pPr>
    <w:rPr>
      <w:b/>
      <w:bCs/>
      <w:i w:val="0"/>
      <w:iCs w:val="0"/>
      <w:u w:val="none"/>
      <w:strike w:val="0"/>
      <w:smallCaps w:val="0"/>
      <w:sz w:val="28"/>
      <w:szCs w:val="28"/>
      <w:rFonts w:ascii="Times New Roman" w:eastAsia="Times New Roman" w:hAnsi="Times New Roman" w:cs="Times New Roman"/>
      <w:spacing w:val="6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