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body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172"/>
        <w:ind w:left="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ФЕДЕРАЛЬНАЯ АНТИМОНОПОЛЬНАЯ СЛУЖБА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230" w:line="288" w:lineRule="exact"/>
        <w:ind w:left="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Управление Федеральной антимонопольной службы по Республике Тыва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spacing w:before="0" w:after="137"/>
        <w:ind w:left="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ул. Комсомольская, 122 А, г. Кызыл, 667007 тел/факс (39422) 6-67-88 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e-mail: </w:t>
      </w:r>
      <w:r>
        <w:fldChar w:fldCharType="begin"/>
      </w:r>
      <w:r>
        <w:rPr>
          <w:color w:val="000000"/>
        </w:rPr>
        <w:instrText> HYPERLINK "mailto:tol7@fas.gov.ru" </w:instrText>
      </w:r>
      <w:r>
        <w:fldChar w:fldCharType="separate"/>
      </w:r>
      <w:r>
        <w:rPr>
          <w:rStyle w:val="Hyperlink"/>
          <w:lang w:val="en-US" w:eastAsia="en-US" w:bidi="en-US"/>
          <w:w w:val="100"/>
          <w:spacing w:val="0"/>
          <w:position w:val="0"/>
        </w:rPr>
        <w:t>tol7@fas.gov.ru</w:t>
      </w:r>
      <w:r>
        <w:fldChar w:fldCharType="end"/>
      </w:r>
    </w:p>
    <w:p>
      <w:pPr>
        <w:pStyle w:val="Style7"/>
        <w:tabs>
          <w:tab w:leader="none" w:pos="1468" w:val="left"/>
          <w:tab w:leader="none" w:pos="3494" w:val="left"/>
          <w:tab w:leader="underscore" w:pos="3758" w:val="left"/>
        </w:tabs>
        <w:widowControl w:val="0"/>
        <w:keepNext w:val="0"/>
        <w:keepLines w:val="0"/>
        <w:shd w:val="clear" w:color="auto" w:fill="auto"/>
        <w:bidi w:val="0"/>
        <w:spacing w:before="0" w:after="250" w:line="280" w:lineRule="exact"/>
        <w:ind w:left="100" w:right="0" w:firstLine="0"/>
      </w:pPr>
      <w:r>
        <w:rPr>
          <w:rStyle w:val="CharStyle9"/>
        </w:rPr>
        <w:t>J</w:t>
      </w:r>
      <w:r>
        <w:rPr>
          <w:rStyle w:val="CharStyle10"/>
        </w:rPr>
        <w:t xml:space="preserve"> </w:t>
      </w:r>
      <w:r>
        <w:rPr>
          <w:rStyle w:val="CharStyle11"/>
        </w:rPr>
        <w:t>/". А</w:t>
      </w:r>
      <w:r>
        <w:rPr>
          <w:rStyle w:val="CharStyle11"/>
          <w:vertAlign w:val="superscript"/>
        </w:rPr>
        <w:t>1</w:t>
      </w:r>
      <w:r>
        <w:rPr>
          <w:rStyle w:val="CharStyle11"/>
        </w:rPr>
        <w:t xml:space="preserve"> К</w:t>
        <w:tab/>
        <w:t>/4</w:t>
      </w:r>
      <w:r>
        <w:rPr>
          <w:lang w:val="ru-RU" w:eastAsia="ru-RU" w:bidi="ru-RU"/>
          <w:w w:val="100"/>
          <w:color w:val="000000"/>
          <w:position w:val="0"/>
        </w:rPr>
        <w:t xml:space="preserve"> Хв </w:t>
      </w:r>
      <w:r>
        <w:rPr>
          <w:rStyle w:val="CharStyle10"/>
          <w:lang w:val="ru-RU" w:eastAsia="ru-RU" w:bidi="ru-RU"/>
        </w:rPr>
        <w:t>Д</w:t>
      </w:r>
      <w:r>
        <w:rPr>
          <w:rStyle w:val="CharStyle12"/>
          <w:lang w:val="ru-RU" w:eastAsia="ru-RU" w:bidi="ru-RU"/>
        </w:rPr>
        <w:tab/>
      </w:r>
      <w:r>
        <w:rPr>
          <w:rStyle w:val="CharStyle13"/>
          <w:lang w:val="ru-RU" w:eastAsia="ru-RU" w:bidi="ru-RU"/>
        </w:rPr>
        <w:tab/>
      </w:r>
    </w:p>
    <w:p>
      <w:pPr>
        <w:pStyle w:val="Style5"/>
        <w:tabs>
          <w:tab w:leader="underscore" w:pos="2131" w:val="righ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850" w:line="160" w:lineRule="exact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На №</w:t>
        <w:tab/>
        <w:t xml:space="preserve">  от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left"/>
        <w:spacing w:before="0" w:after="0" w:line="220" w:lineRule="exact"/>
        <w:ind w:left="10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О возвращении жалобы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192" w:line="288" w:lineRule="exact"/>
        <w:ind w:left="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МОНОПОЛЙЯГА УДУР ФЕДЕРАЛДЫГ АЛБАН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162" w:line="274" w:lineRule="exact"/>
        <w:ind w:left="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Монополияга удур Федералдыг албаннын Тыва Республика талазы-биле эр тел ели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spacing w:before="0" w:after="0" w:line="221" w:lineRule="exact"/>
        <w:ind w:left="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Комсомольская кудумчузу, 122 А,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spacing w:before="0" w:after="809" w:line="221" w:lineRule="exact"/>
        <w:ind w:left="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Кызыл хоорай, 667007 тел/факс (39422) 6-67-88 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e-mail: </w:t>
      </w:r>
      <w:r>
        <w:fldChar w:fldCharType="begin"/>
      </w:r>
      <w:r>
        <w:rPr>
          <w:color w:val="000000"/>
        </w:rPr>
        <w:instrText> HYPERLINK "mailto:tol7@fas.gov.ru" </w:instrText>
      </w:r>
      <w:r>
        <w:fldChar w:fldCharType="separate"/>
      </w:r>
      <w:r>
        <w:rPr>
          <w:rStyle w:val="Hyperlink"/>
          <w:lang w:val="en-US" w:eastAsia="en-US" w:bidi="en-US"/>
          <w:w w:val="100"/>
          <w:spacing w:val="0"/>
          <w:position w:val="0"/>
        </w:rPr>
        <w:t>tol7@fas.gov.ru</w:t>
      </w:r>
      <w:r>
        <w:fldChar w:fldCharType="end"/>
      </w:r>
    </w:p>
    <w:p>
      <w:pPr>
        <w:pStyle w:val="Style14"/>
        <w:widowControl w:val="0"/>
        <w:keepNext w:val="0"/>
        <w:keepLines w:val="0"/>
        <w:shd w:val="clear" w:color="auto" w:fill="auto"/>
        <w:bidi w:val="0"/>
        <w:spacing w:before="0" w:after="303" w:line="260" w:lineRule="exact"/>
        <w:ind w:left="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ООО «Импульс»</w:t>
      </w:r>
    </w:p>
    <w:p>
      <w:pPr>
        <w:pStyle w:val="Style14"/>
        <w:widowControl w:val="0"/>
        <w:keepNext w:val="0"/>
        <w:keepLines w:val="0"/>
        <w:shd w:val="clear" w:color="auto" w:fill="auto"/>
        <w:bidi w:val="0"/>
        <w:spacing w:before="0" w:after="0" w:line="322" w:lineRule="exact"/>
        <w:ind w:left="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640000, г. Курган, ул. Родионова, д. 32, оф. 28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0" w:line="220" w:lineRule="exact"/>
        <w:ind w:left="0" w:right="20" w:firstLine="0"/>
        <w:sectPr>
          <w:footnotePr>
            <w:pos w:val="pageBottom"/>
            <w:numFmt w:val="decimal"/>
            <w:numRestart w:val="continuous"/>
          </w:footnotePr>
          <w:type w:val="continuous"/>
          <w:pgSz w:w="11906" w:h="16838"/>
          <w:pgMar w:top="122" w:left="1052" w:right="1321" w:bottom="127" w:header="0" w:footer="3" w:gutter="0"/>
          <w:rtlGutter w:val="0"/>
          <w:cols w:num="2" w:space="720" w:equalWidth="0">
            <w:col w:w="3802" w:space="1498"/>
            <w:col w:w="4234"/>
          </w:cols>
          <w:noEndnote/>
          <w:docGrid w:linePitch="360"/>
        </w:sectPr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электронная почта: </w:t>
      </w:r>
      <w:r>
        <w:rPr>
          <w:rStyle w:val="CharStyle16"/>
        </w:rPr>
        <w:t xml:space="preserve">melinal </w:t>
      </w:r>
      <w:r>
        <w:fldChar w:fldCharType="begin"/>
      </w:r>
      <w:r>
        <w:rPr>
          <w:rStyle w:val="CharStyle16"/>
        </w:rPr>
        <w:instrText> HYPERLINK "mailto:986@inbox.ru" </w:instrText>
      </w:r>
      <w:r>
        <w:fldChar w:fldCharType="separate"/>
      </w:r>
      <w:r>
        <w:rPr>
          <w:rStyle w:val="Hyperlink"/>
        </w:rPr>
        <w:t>986@inbox.ru</w:t>
      </w:r>
      <w:r>
        <w:fldChar w:fldCharType="end"/>
      </w:r>
    </w:p>
    <w:p>
      <w:pPr>
        <w:widowControl w:val="0"/>
        <w:spacing w:before="53" w:after="53" w:line="240" w:lineRule="exact"/>
        <w:rPr>
          <w:sz w:val="19"/>
          <w:szCs w:val="19"/>
        </w:rPr>
      </w:pPr>
    </w:p>
    <w:p>
      <w:pPr>
        <w:widowControl w:val="0"/>
        <w:rPr>
          <w:sz w:val="2"/>
          <w:szCs w:val="2"/>
        </w:rPr>
        <w:sectPr>
          <w:type w:val="continuous"/>
          <w:pgSz w:w="11906" w:h="16838"/>
          <w:pgMar w:top="0" w:left="0" w:right="0" w:bottom="0" w:header="0" w:footer="3" w:gutter="0"/>
          <w:rtlGutter w:val="0"/>
          <w:cols w:space="720"/>
          <w:noEndnote/>
          <w:docGrid w:linePitch="360"/>
        </w:sectPr>
      </w:pPr>
    </w:p>
    <w:p>
      <w:pPr>
        <w:pStyle w:val="Style14"/>
        <w:widowControl w:val="0"/>
        <w:keepNext w:val="0"/>
        <w:keepLines w:val="0"/>
        <w:shd w:val="clear" w:color="auto" w:fill="auto"/>
        <w:bidi w:val="0"/>
        <w:jc w:val="both"/>
        <w:spacing w:before="0" w:after="0" w:line="317" w:lineRule="exact"/>
        <w:ind w:left="20" w:right="20" w:firstLine="58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адрес Управления Федеральной антимонопольной службы по Республике Тыва (далее - Тывинское УФАС России) поступила Ваша жалоба (вх. № 1760 от 28.04.2017 года), направленная ФАС России (вх. № 62337/17 от 25.04.2017 года), на действия заказчика при исполнении контракта, заключенного по результатам электронного аукциона № 0112200000815003778 на поставку контейнера полимерного для крови и ее компонентов для ГБУЗ РТ "Станция переливания крови".</w:t>
      </w:r>
    </w:p>
    <w:p>
      <w:pPr>
        <w:pStyle w:val="Style14"/>
        <w:widowControl w:val="0"/>
        <w:keepNext w:val="0"/>
        <w:keepLines w:val="0"/>
        <w:shd w:val="clear" w:color="auto" w:fill="auto"/>
        <w:bidi w:val="0"/>
        <w:jc w:val="both"/>
        <w:spacing w:before="0" w:after="569" w:line="322" w:lineRule="exact"/>
        <w:ind w:left="20" w:right="20" w:firstLine="580"/>
      </w:pPr>
      <w:r>
        <w:rPr>
          <w:lang w:val="ru-RU" w:eastAsia="ru-RU" w:bidi="ru-RU"/>
          <w:w w:val="100"/>
          <w:spacing w:val="0"/>
          <w:color w:val="000000"/>
          <w:position w:val="0"/>
        </w:rPr>
        <w:t>Согласно части 4 статьи 105 Федерального закона от 05.04.2013 года № 44- ФЗ "О контрактной системе в сфере закупок товаров, работ, услуг для обеспечения государственных и муниципальных нужд" (далее - Закон о контрактной системе) обжалование действий (бездействия) заказчика, уполномоченного органа, уполномоченного учреждения, специализированной организации, комиссии по осуществлению закупок, ее членов, должностного лица контрактной службы, контрактного управляющего, оператора электронной площадки в случае, если данные действия (бездействие) совершены при определении поставщика (подрядчика, исполнителя) путем электронного аукциона, осуществляется в порядке, установленном настоящей главой, в любое время определения поставщика (подрядчика, исполнителя), а также в период аккредитации на электронной площадке, но не позднее чем через десять дней с даты размещения на электронной площадке протокола подведения результатов такого аукциона либо протокола рассмотрения заявок на участие в таком аукционе или протокола проведения такого аукциона в случае признания такого аукциона несостоявшимся. Жалоба на положения документации о таком аукционе может быть подана участником закупки до окончания срока подачи заявок на участие в таком аукционе. При э1гом в случае, если обжалуемые действия (бездействие) совершены после начала рассмотрения заявок на участие в таком аукционе, обжалование данных действий (бездействия) может осуществляться только участником закупки, подавшим заявку на участие в таком аукционе. В случае, если обжалуемые действия (бездействие) совершены</w:t>
      </w:r>
    </w:p>
    <w:p>
      <w:pPr>
        <w:pStyle w:val="Style18"/>
        <w:widowControl w:val="0"/>
        <w:keepNext/>
        <w:keepLines/>
        <w:shd w:val="clear" w:color="auto" w:fill="auto"/>
        <w:bidi w:val="0"/>
        <w:jc w:val="left"/>
        <w:spacing w:before="0" w:after="0" w:line="360" w:lineRule="exact"/>
        <w:ind w:left="8020" w:right="0" w:firstLine="0"/>
      </w:pPr>
      <w:bookmarkStart w:id="0" w:name="bookmark0"/>
      <w:r>
        <w:rPr>
          <w:lang w:val="ru-RU" w:eastAsia="ru-RU" w:bidi="ru-RU"/>
          <w:w w:val="100"/>
          <w:color w:val="000000"/>
          <w:position w:val="0"/>
        </w:rPr>
        <w:t>001745</w:t>
      </w:r>
      <w:bookmarkEnd w:id="0"/>
      <w:r>
        <w:br w:type="page"/>
      </w:r>
    </w:p>
    <w:p>
      <w:pPr>
        <w:pStyle w:val="Style14"/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2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при рассмотрении вторых частей заявок на участие в электронном аукционе или </w:t>
      </w:r>
      <w:r>
        <w:rPr>
          <w:rStyle w:val="CharStyle20"/>
        </w:rPr>
        <w:t xml:space="preserve">при заключении контракта, обжалование </w:t>
      </w:r>
      <w:r>
        <w:rPr>
          <w:rStyle w:val="CharStyle20"/>
          <w:lang w:val="en-US" w:eastAsia="en-US" w:bidi="en-US"/>
        </w:rPr>
        <w:t xml:space="preserve">i </w:t>
      </w:r>
      <w:r>
        <w:rPr>
          <w:rStyle w:val="CharStyle20"/>
        </w:rPr>
        <w:t xml:space="preserve">данных </w:t>
      </w:r>
      <w:r>
        <w:rPr>
          <w:lang w:val="ru-RU" w:eastAsia="ru-RU" w:bidi="ru-RU"/>
          <w:w w:val="100"/>
          <w:spacing w:val="0"/>
          <w:color w:val="000000"/>
          <w:position w:val="0"/>
        </w:rPr>
        <w:t>действий (бездействия) осуществляется до заключения контракта. По обжалование данных действий (бездействия) органа, уполномоченного учреждения, специализированной организации, оператора электронной площадки, аукционной комиссии осуществляется только в судебном порядке.</w:t>
      </w:r>
    </w:p>
    <w:p>
      <w:pPr>
        <w:pStyle w:val="Style14"/>
        <w:framePr w:w="3747" w:h="664" w:vSpace="13" w:wrap="around" w:hAnchor="margin" w:x="6022" w:y="984"/>
        <w:widowControl w:val="0"/>
        <w:keepNext w:val="0"/>
        <w:keepLines w:val="0"/>
        <w:shd w:val="clear" w:color="auto" w:fill="auto"/>
        <w:bidi w:val="0"/>
        <w:jc w:val="both"/>
        <w:spacing w:before="0" w:after="0" w:line="331" w:lineRule="exact"/>
        <w:ind w:left="120" w:right="0" w:firstLine="0"/>
      </w:pPr>
      <w:r>
        <w:rPr>
          <w:rStyle w:val="CharStyle17"/>
          <w:spacing w:val="0"/>
        </w:rPr>
        <w:t>истечении указанных сроков заказчика, уполномоченного</w:t>
      </w:r>
    </w:p>
    <w:p>
      <w:pPr>
        <w:pStyle w:val="Style14"/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20" w:right="20" w:firstLine="54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соответствии с частью 6 статьи 105 Закона о контрактной системе обжалование действий (бездействия) заказчика, уполномоченного органа, уполномоченного учреждения, специализированной организации, связанных с заключением контракта, допускается в порядке, установленном настоящей главой, не позднее даты заключения контракту.</w:t>
      </w:r>
    </w:p>
    <w:p>
      <w:pPr>
        <w:pStyle w:val="Style14"/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20" w:right="20" w:firstLine="540"/>
      </w:pPr>
      <w:r>
        <w:rPr>
          <w:lang w:val="ru-RU" w:eastAsia="ru-RU" w:bidi="ru-RU"/>
          <w:w w:val="100"/>
          <w:spacing w:val="0"/>
          <w:color w:val="000000"/>
          <w:position w:val="0"/>
        </w:rPr>
        <w:t>Таким образом, обжалование действий (бездействия) заказчика, уполномоченного органа, уполномоченного учреждения, специализированной организации, комиссии по осуществлению закупок, должностного лица контрактной службы, контрактного управляющего, оператора электронной площадки допускается в порядке, установленном главой 6 Закона о контрактной системе, не позднее даты заключения контракта.</w:t>
      </w:r>
    </w:p>
    <w:p>
      <w:pPr>
        <w:pStyle w:val="Style14"/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20" w:right="20" w:firstLine="54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По истечении указанного срока Обжалование данных действий (бездействия) заказчика, уполномоченнбго органа, уполномоченного учреждения, специализированной организации, оператора электронной площадки, комиссии по осуществлению закупок осуществляется только в судебном порядке.</w:t>
      </w:r>
    </w:p>
    <w:p>
      <w:pPr>
        <w:pStyle w:val="Style14"/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20" w:right="20" w:firstLine="54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Согласно информации, размещенной в Единой информационной системе </w:t>
      </w:r>
      <w:r>
        <w:fldChar w:fldCharType="begin"/>
      </w:r>
      <w:r>
        <w:rPr>
          <w:rStyle w:val="CharStyle21"/>
        </w:rPr>
        <w:instrText> HYPERLINK "http://www.zakupki.gov.ru" </w:instrText>
      </w:r>
      <w:r>
        <w:fldChar w:fldCharType="separate"/>
      </w:r>
      <w:r>
        <w:rPr>
          <w:rStyle w:val="Hyperlink"/>
        </w:rPr>
        <w:t>www.zakupki.gov.ru</w:t>
      </w:r>
      <w:r>
        <w:fldChar w:fldCharType="end"/>
      </w:r>
      <w:r>
        <w:rPr>
          <w:rStyle w:val="CharStyle21"/>
        </w:rPr>
        <w:t>,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 </w:t>
      </w:r>
      <w:r>
        <w:rPr>
          <w:lang w:val="ru-RU" w:eastAsia="ru-RU" w:bidi="ru-RU"/>
          <w:w w:val="100"/>
          <w:spacing w:val="0"/>
          <w:color w:val="000000"/>
          <w:position w:val="0"/>
        </w:rPr>
        <w:t>04.02.2016 года по результатам электронного аукциона № 0112200000815003778 заключен контракт № 2016.27971, который исполнен 21.07.2016 года.</w:t>
      </w:r>
    </w:p>
    <w:p>
      <w:pPr>
        <w:pStyle w:val="Style14"/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20" w:right="140" w:firstLine="54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соответствии с пунктом 3 части 11 статьи 105 Закона о контрактной системе жалоба возвращается подавшему ее лицу без рассмотрения в случае, если жалоба подана по истечении срока, предусмотренного статьей 105 Закона о контрактной системе.</w:t>
      </w:r>
    </w:p>
    <w:p>
      <w:pPr>
        <w:pStyle w:val="Style14"/>
        <w:widowControl w:val="0"/>
        <w:keepNext w:val="0"/>
        <w:keepLines w:val="0"/>
        <w:shd w:val="clear" w:color="auto" w:fill="auto"/>
        <w:bidi w:val="0"/>
        <w:jc w:val="both"/>
        <w:spacing w:before="0" w:after="289" w:line="322" w:lineRule="exact"/>
        <w:ind w:left="20" w:right="20" w:firstLine="54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На основании изложенного и в соответствии с пунктом 3 части 11 статьи 105 Закона о контрактной системе Ваша жалоба подлежит возврату, в связи с истечением срока на ее подачу.</w:t>
      </w:r>
    </w:p>
    <w:p>
      <w:pPr>
        <w:pStyle w:val="Style14"/>
        <w:widowControl w:val="0"/>
        <w:keepNext w:val="0"/>
        <w:keepLines w:val="0"/>
        <w:shd w:val="clear" w:color="auto" w:fill="auto"/>
        <w:bidi w:val="0"/>
        <w:jc w:val="both"/>
        <w:spacing w:before="0" w:after="647" w:line="260" w:lineRule="exact"/>
        <w:ind w:left="20" w:right="0" w:firstLine="54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Приложение: жалоба на 1 листе в 1 экземпляре.</w:t>
      </w:r>
    </w:p>
    <w:p>
      <w:pPr>
        <w:pStyle w:val="Style14"/>
        <w:widowControl w:val="0"/>
        <w:keepNext w:val="0"/>
        <w:keepLines w:val="0"/>
        <w:shd w:val="clear" w:color="auto" w:fill="auto"/>
        <w:bidi w:val="0"/>
        <w:jc w:val="both"/>
        <w:spacing w:before="0" w:after="1159" w:line="260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Руководитель управления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left"/>
        <w:spacing w:before="0" w:after="0" w:line="254" w:lineRule="exact"/>
        <w:ind w:left="20" w:right="77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Исп. Ооржак А.О. Тел. 8 (39422) 6-67-88</w:t>
      </w:r>
    </w:p>
    <w:sectPr>
      <w:type w:val="continuous"/>
      <w:pgSz w:w="11906" w:h="16838"/>
      <w:pgMar w:top="642" w:left="904" w:right="1204" w:bottom="398" w:header="0" w:footer="3" w:gutter="0"/>
      <w:rtlGutter w:val="0"/>
      <w:cols w:space="720"/>
      <w:noEndnote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zoom w:val="fullPage"/>
  <w:evenAndOddHeaders/>
  <w:footnotePr>
    <w:footnotePr>
      <w:pos w:val="pageBottom"/>
      <w:numFmt w:val="decimal"/>
      <w:numRestart w:val="continuous"/>
    </w:footnotePr>
    <w:footnote w:id="0"/>
    <w:footnote w:id="1"/>
  </w:footnotePr>
  <w:drawingGridHorizontalSpacing w:val="181"/>
  <w:drawingGridVerticalSpacing w:val="181"/>
  <w:displayHorizontalDrawingGridEvery w:val="1"/>
  <w:displayVerticalDrawingGridEvery w:val="1"/>
  <w:characterSpacingControl w:val="compressPunctuation"/>
  <w:compat>
    <w:doNotExpandShiftReturn/>
    <w:compatSetting w:name="compatibilityMode" w:uri="http://schemas.microsoft.com/office/word" w:val="14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auto"/>
        <w:ind w:left="0" w:right="0" w:firstLine="0"/>
      </w:pPr>
    </w:pPrDefault>
  </w:docDefaults>
  <w:style w:type="paragraph" w:default="1" w:styleId="Normal">
    <w:name w:val="Normal"/>
    <w:pPr>
      <w:widowControl w:val="0"/>
      <w:keepNext w:val="0"/>
      <w:keepLines w:val="0"/>
      <w:shd w:val="clear" w:color="auto" w:fill="auto"/>
      <w:bidi w:val="0"/>
      <w:jc w:val="left"/>
      <w:spacing w:before="0" w:after="0" w:line="240" w:lineRule="auto"/>
      <w:ind w:left="0" w:right="0" w:firstLine="0"/>
    </w:pPr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default="1" w:styleId="DefaultParagraphFont">
    <w:name w:val="Default Paragraph Font"/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styleId="Hyperlink">
    <w:name w:val="Hyperlink"/>
    <w:basedOn w:val="DefaultParagraphFont"/>
    <w:rPr>
      <w:u w:val="single"/>
      <w:color w:val="0066CC"/>
    </w:rPr>
  </w:style>
  <w:style w:type="character" w:customStyle="1" w:styleId="CharStyle4">
    <w:name w:val="Основной текст (2)_"/>
    <w:basedOn w:val="DefaultParagraphFont"/>
    <w:link w:val="Style3"/>
    <w:rPr>
      <w:b w:val="0"/>
      <w:bCs w:val="0"/>
      <w:i w:val="0"/>
      <w:iCs w:val="0"/>
      <w:u w:val="none"/>
      <w:strike w:val="0"/>
      <w:smallCaps w:val="0"/>
      <w:sz w:val="22"/>
      <w:szCs w:val="22"/>
      <w:rFonts w:ascii="Times New Roman" w:eastAsia="Times New Roman" w:hAnsi="Times New Roman" w:cs="Times New Roman"/>
    </w:rPr>
  </w:style>
  <w:style w:type="character" w:customStyle="1" w:styleId="CharStyle6">
    <w:name w:val="Основной текст (3)_"/>
    <w:basedOn w:val="DefaultParagraphFont"/>
    <w:link w:val="Style5"/>
    <w:rPr>
      <w:b w:val="0"/>
      <w:bCs w:val="0"/>
      <w:i w:val="0"/>
      <w:iCs w:val="0"/>
      <w:u w:val="none"/>
      <w:strike w:val="0"/>
      <w:smallCaps w:val="0"/>
      <w:sz w:val="16"/>
      <w:szCs w:val="16"/>
      <w:rFonts w:ascii="Times New Roman" w:eastAsia="Times New Roman" w:hAnsi="Times New Roman" w:cs="Times New Roman"/>
    </w:rPr>
  </w:style>
  <w:style w:type="character" w:customStyle="1" w:styleId="CharStyle8">
    <w:name w:val="Основной текст (4)_"/>
    <w:basedOn w:val="DefaultParagraphFont"/>
    <w:link w:val="Style7"/>
    <w:rPr>
      <w:b w:val="0"/>
      <w:bCs w:val="0"/>
      <w:i w:val="0"/>
      <w:iCs w:val="0"/>
      <w:u w:val="none"/>
      <w:strike w:val="0"/>
      <w:smallCaps w:val="0"/>
      <w:sz w:val="21"/>
      <w:szCs w:val="21"/>
      <w:rFonts w:ascii="Times New Roman" w:eastAsia="Times New Roman" w:hAnsi="Times New Roman" w:cs="Times New Roman"/>
      <w:spacing w:val="-20"/>
    </w:rPr>
  </w:style>
  <w:style w:type="character" w:customStyle="1" w:styleId="CharStyle9">
    <w:name w:val="Основной текст (4) + Bookman Old Style,14 pt,Курсив,Интервал 0 pt"/>
    <w:basedOn w:val="CharStyle8"/>
    <w:rPr>
      <w:lang w:val="en-US" w:eastAsia="en-US" w:bidi="en-US"/>
      <w:i/>
      <w:iCs/>
      <w:u w:val="single"/>
      <w:sz w:val="28"/>
      <w:szCs w:val="28"/>
      <w:rFonts w:ascii="Bookman Old Style" w:eastAsia="Bookman Old Style" w:hAnsi="Bookman Old Style" w:cs="Bookman Old Style"/>
      <w:w w:val="100"/>
      <w:spacing w:val="0"/>
      <w:color w:val="000000"/>
      <w:position w:val="0"/>
    </w:rPr>
  </w:style>
  <w:style w:type="character" w:customStyle="1" w:styleId="CharStyle10">
    <w:name w:val="Основной текст (4) + Интервал 0 pt"/>
    <w:basedOn w:val="CharStyle8"/>
    <w:rPr>
      <w:lang w:val="en-US" w:eastAsia="en-US" w:bidi="en-US"/>
      <w:u w:val="single"/>
      <w:w w:val="100"/>
      <w:spacing w:val="0"/>
      <w:color w:val="000000"/>
      <w:position w:val="0"/>
    </w:rPr>
  </w:style>
  <w:style w:type="character" w:customStyle="1" w:styleId="CharStyle11">
    <w:name w:val="Основной текст (4)"/>
    <w:basedOn w:val="CharStyle8"/>
    <w:rPr>
      <w:lang w:val="ru-RU" w:eastAsia="ru-RU" w:bidi="ru-RU"/>
      <w:u w:val="single"/>
      <w:w w:val="100"/>
      <w:color w:val="000000"/>
      <w:position w:val="0"/>
    </w:rPr>
  </w:style>
  <w:style w:type="character" w:customStyle="1" w:styleId="CharStyle12">
    <w:name w:val="Основной текст (4) + Интервал 0 pt"/>
    <w:basedOn w:val="CharStyle8"/>
    <w:rPr>
      <w:lang w:val="1024"/>
      <w:w w:val="100"/>
      <w:spacing w:val="0"/>
      <w:color w:val="000000"/>
      <w:position w:val="0"/>
    </w:rPr>
  </w:style>
  <w:style w:type="character" w:customStyle="1" w:styleId="CharStyle13">
    <w:name w:val="Основной текст (4) + 10 pt,Интервал 0 pt"/>
    <w:basedOn w:val="CharStyle8"/>
    <w:rPr>
      <w:lang w:val="1024"/>
      <w:sz w:val="20"/>
      <w:szCs w:val="20"/>
      <w:w w:val="100"/>
      <w:spacing w:val="0"/>
      <w:color w:val="000000"/>
      <w:position w:val="0"/>
    </w:rPr>
  </w:style>
  <w:style w:type="character" w:customStyle="1" w:styleId="CharStyle15">
    <w:name w:val="Основной текст_"/>
    <w:basedOn w:val="DefaultParagraphFont"/>
    <w:link w:val="Style14"/>
    <w:rPr>
      <w:b w:val="0"/>
      <w:bCs w:val="0"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  <w:style w:type="character" w:customStyle="1" w:styleId="CharStyle16">
    <w:name w:val="Основной текст (2)"/>
    <w:basedOn w:val="CharStyle4"/>
    <w:rPr>
      <w:lang w:val="en-US" w:eastAsia="en-US" w:bidi="en-US"/>
      <w:u w:val="single"/>
      <w:w w:val="100"/>
      <w:spacing w:val="0"/>
      <w:color w:val="000000"/>
      <w:position w:val="0"/>
    </w:rPr>
  </w:style>
  <w:style w:type="character" w:customStyle="1" w:styleId="CharStyle17">
    <w:name w:val="Основной текст Exact"/>
    <w:basedOn w:val="DefaultParagraphFont"/>
    <w:rPr>
      <w:b w:val="0"/>
      <w:bCs w:val="0"/>
      <w:i w:val="0"/>
      <w:iCs w:val="0"/>
      <w:u w:val="none"/>
      <w:strike w:val="0"/>
      <w:smallCaps w:val="0"/>
      <w:rFonts w:ascii="Times New Roman" w:eastAsia="Times New Roman" w:hAnsi="Times New Roman" w:cs="Times New Roman"/>
      <w:spacing w:val="2"/>
    </w:rPr>
  </w:style>
  <w:style w:type="character" w:customStyle="1" w:styleId="CharStyle19">
    <w:name w:val="Заголовок №1_"/>
    <w:basedOn w:val="DefaultParagraphFont"/>
    <w:link w:val="Style18"/>
    <w:rPr>
      <w:b/>
      <w:bCs/>
      <w:i w:val="0"/>
      <w:iCs w:val="0"/>
      <w:u w:val="none"/>
      <w:strike w:val="0"/>
      <w:smallCaps w:val="0"/>
      <w:sz w:val="36"/>
      <w:szCs w:val="36"/>
      <w:rFonts w:ascii="Times New Roman" w:eastAsia="Times New Roman" w:hAnsi="Times New Roman" w:cs="Times New Roman"/>
      <w:spacing w:val="30"/>
    </w:rPr>
  </w:style>
  <w:style w:type="character" w:customStyle="1" w:styleId="CharStyle20">
    <w:name w:val="Основной текст + Corbel,15 pt,Интервал -1 pt"/>
    <w:basedOn w:val="CharStyle15"/>
    <w:rPr>
      <w:lang w:val="ru-RU" w:eastAsia="ru-RU" w:bidi="ru-RU"/>
      <w:sz w:val="30"/>
      <w:szCs w:val="30"/>
      <w:rFonts w:ascii="Corbel" w:eastAsia="Corbel" w:hAnsi="Corbel" w:cs="Corbel"/>
      <w:w w:val="100"/>
      <w:spacing w:val="-20"/>
      <w:color w:val="000000"/>
      <w:position w:val="0"/>
    </w:rPr>
  </w:style>
  <w:style w:type="character" w:customStyle="1" w:styleId="CharStyle21">
    <w:name w:val="Основной текст"/>
    <w:basedOn w:val="CharStyle15"/>
    <w:rPr>
      <w:lang w:val="en-US" w:eastAsia="en-US" w:bidi="en-US"/>
      <w:u w:val="single"/>
      <w:w w:val="100"/>
      <w:spacing w:val="0"/>
      <w:color w:val="000000"/>
      <w:position w:val="0"/>
    </w:rPr>
  </w:style>
  <w:style w:type="paragraph" w:customStyle="1" w:styleId="Style3">
    <w:name w:val="Основной текст (2)"/>
    <w:basedOn w:val="Normal"/>
    <w:link w:val="CharStyle4"/>
    <w:pPr>
      <w:widowControl w:val="0"/>
      <w:shd w:val="clear" w:color="auto" w:fill="FFFFFF"/>
      <w:jc w:val="center"/>
      <w:spacing w:after="180" w:line="278" w:lineRule="exact"/>
    </w:pPr>
    <w:rPr>
      <w:b w:val="0"/>
      <w:bCs w:val="0"/>
      <w:i w:val="0"/>
      <w:iCs w:val="0"/>
      <w:u w:val="none"/>
      <w:strike w:val="0"/>
      <w:smallCaps w:val="0"/>
      <w:sz w:val="22"/>
      <w:szCs w:val="22"/>
      <w:rFonts w:ascii="Times New Roman" w:eastAsia="Times New Roman" w:hAnsi="Times New Roman" w:cs="Times New Roman"/>
    </w:rPr>
  </w:style>
  <w:style w:type="paragraph" w:customStyle="1" w:styleId="Style5">
    <w:name w:val="Основной текст (3)"/>
    <w:basedOn w:val="Normal"/>
    <w:link w:val="CharStyle6"/>
    <w:pPr>
      <w:widowControl w:val="0"/>
      <w:shd w:val="clear" w:color="auto" w:fill="FFFFFF"/>
      <w:jc w:val="center"/>
      <w:spacing w:before="180" w:after="180" w:line="226" w:lineRule="exact"/>
    </w:pPr>
    <w:rPr>
      <w:b w:val="0"/>
      <w:bCs w:val="0"/>
      <w:i w:val="0"/>
      <w:iCs w:val="0"/>
      <w:u w:val="none"/>
      <w:strike w:val="0"/>
      <w:smallCaps w:val="0"/>
      <w:sz w:val="16"/>
      <w:szCs w:val="16"/>
      <w:rFonts w:ascii="Times New Roman" w:eastAsia="Times New Roman" w:hAnsi="Times New Roman" w:cs="Times New Roman"/>
    </w:rPr>
  </w:style>
  <w:style w:type="paragraph" w:customStyle="1" w:styleId="Style7">
    <w:name w:val="Основной текст (4)"/>
    <w:basedOn w:val="Normal"/>
    <w:link w:val="CharStyle8"/>
    <w:pPr>
      <w:widowControl w:val="0"/>
      <w:shd w:val="clear" w:color="auto" w:fill="FFFFFF"/>
      <w:jc w:val="both"/>
      <w:spacing w:before="180" w:after="300" w:line="0" w:lineRule="exact"/>
    </w:pPr>
    <w:rPr>
      <w:b w:val="0"/>
      <w:bCs w:val="0"/>
      <w:i w:val="0"/>
      <w:iCs w:val="0"/>
      <w:u w:val="none"/>
      <w:strike w:val="0"/>
      <w:smallCaps w:val="0"/>
      <w:sz w:val="21"/>
      <w:szCs w:val="21"/>
      <w:rFonts w:ascii="Times New Roman" w:eastAsia="Times New Roman" w:hAnsi="Times New Roman" w:cs="Times New Roman"/>
      <w:spacing w:val="-20"/>
    </w:rPr>
  </w:style>
  <w:style w:type="paragraph" w:customStyle="1" w:styleId="Style14">
    <w:name w:val="Основной текст"/>
    <w:basedOn w:val="Normal"/>
    <w:link w:val="CharStyle15"/>
    <w:pPr>
      <w:widowControl w:val="0"/>
      <w:shd w:val="clear" w:color="auto" w:fill="FFFFFF"/>
      <w:jc w:val="center"/>
      <w:spacing w:before="840" w:after="420" w:line="0" w:lineRule="exact"/>
    </w:pPr>
    <w:rPr>
      <w:b w:val="0"/>
      <w:bCs w:val="0"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  <w:style w:type="paragraph" w:customStyle="1" w:styleId="Style18">
    <w:name w:val="Заголовок №1"/>
    <w:basedOn w:val="Normal"/>
    <w:link w:val="CharStyle19"/>
    <w:pPr>
      <w:widowControl w:val="0"/>
      <w:shd w:val="clear" w:color="auto" w:fill="FFFFFF"/>
      <w:outlineLvl w:val="0"/>
      <w:spacing w:before="600" w:line="0" w:lineRule="exact"/>
    </w:pPr>
    <w:rPr>
      <w:b/>
      <w:bCs/>
      <w:i w:val="0"/>
      <w:iCs w:val="0"/>
      <w:u w:val="none"/>
      <w:strike w:val="0"/>
      <w:smallCaps w:val="0"/>
      <w:sz w:val="36"/>
      <w:szCs w:val="36"/>
      <w:rFonts w:ascii="Times New Roman" w:eastAsia="Times New Roman" w:hAnsi="Times New Roman" w:cs="Times New Roman"/>
      <w:spacing w:val="30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/Relationships>
</file>