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28" w:after="83"/>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186"/>
        <w:ind w:left="0" w:right="0" w:firstLine="0"/>
      </w:pPr>
      <w:r>
        <w:rPr>
          <w:rStyle w:val="CharStyle8"/>
          <w:b/>
          <w:bCs/>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0"/>
        <w:ind w:left="0" w:right="0" w:firstLine="0"/>
      </w:pPr>
      <w:r>
        <w:rPr>
          <w:rStyle w:val="CharStyle11"/>
        </w:rPr>
        <w:t xml:space="preserve">пр. Ворошиловский, 2/2, офис 403 г. Ростов-на-Дону, 344006 тел. (863) 263-31-04, факс (863) 240-99-59 </w:t>
      </w:r>
      <w:r>
        <w:rPr>
          <w:rStyle w:val="CharStyle11"/>
          <w:lang w:val="en-US" w:eastAsia="en-US" w:bidi="en-US"/>
        </w:rPr>
        <w:t xml:space="preserve">e-mail: </w:t>
      </w:r>
      <w:r>
        <w:fldChar w:fldCharType="begin"/>
      </w:r>
      <w:r>
        <w:rPr>
          <w:rStyle w:val="CharStyle11"/>
        </w:rPr>
        <w:instrText> HYPERLINK "mailto:to61@fas.gov.ru" </w:instrText>
      </w:r>
      <w:r>
        <w:fldChar w:fldCharType="separate"/>
      </w:r>
      <w:r>
        <w:rPr>
          <w:rStyle w:val="Hyperlink"/>
          <w:lang w:val="en-US" w:eastAsia="en-US" w:bidi="en-US"/>
        </w:rPr>
        <w:t>to61@fas.gov.ru</w:t>
      </w:r>
      <w:r>
        <w:fldChar w:fldCharType="end"/>
      </w:r>
    </w:p>
    <w:p>
      <w:pPr>
        <w:pStyle w:val="Style12"/>
        <w:widowControl w:val="0"/>
        <w:keepNext w:val="0"/>
        <w:keepLines w:val="0"/>
        <w:shd w:val="clear" w:color="auto" w:fill="auto"/>
        <w:bidi w:val="0"/>
        <w:jc w:val="left"/>
        <w:spacing w:before="0" w:after="75"/>
        <w:ind w:left="3600" w:right="0" w:firstLine="0"/>
      </w:pPr>
      <w:r>
        <w:rPr>
          <w:lang w:val="ru-RU" w:eastAsia="ru-RU" w:bidi="ru-RU"/>
          <w:w w:val="100"/>
          <w:spacing w:val="0"/>
          <w:color w:val="000000"/>
          <w:position w:val="0"/>
        </w:rPr>
        <w:t>/</w:t>
      </w:r>
    </w:p>
    <w:p>
      <w:pPr>
        <w:pStyle w:val="Style14"/>
        <w:tabs>
          <w:tab w:leader="none" w:pos="3672" w:val="right"/>
        </w:tabs>
        <w:widowControl w:val="0"/>
        <w:keepNext w:val="0"/>
        <w:keepLines w:val="0"/>
        <w:shd w:val="clear" w:color="auto" w:fill="auto"/>
        <w:bidi w:val="0"/>
        <w:spacing w:before="0" w:after="295" w:line="240" w:lineRule="exact"/>
        <w:ind w:left="680" w:right="0" w:firstLine="0"/>
      </w:pPr>
      <w:r>
        <w:rPr>
          <w:rStyle w:val="CharStyle16"/>
          <w:i/>
          <w:iCs/>
        </w:rPr>
        <w:t>йЗ.</w:t>
      </w:r>
      <w:r>
        <w:rPr>
          <w:rStyle w:val="CharStyle17"/>
          <w:i w:val="0"/>
          <w:iCs w:val="0"/>
        </w:rPr>
        <w:t xml:space="preserve"> с Г, </w:t>
      </w:r>
      <w:r>
        <w:rPr>
          <w:rStyle w:val="CharStyle16"/>
          <w:lang w:val="en-US" w:eastAsia="en-US" w:bidi="en-US"/>
          <w:i/>
          <w:iCs/>
        </w:rPr>
        <w:t>ZC/9</w:t>
      </w:r>
      <w:r>
        <w:rPr>
          <w:rStyle w:val="CharStyle18"/>
          <w:lang w:val="en-US" w:eastAsia="en-US" w:bidi="en-US"/>
          <w:i w:val="0"/>
          <w:iCs w:val="0"/>
        </w:rPr>
        <w:t xml:space="preserve"> </w:t>
      </w:r>
      <w:r>
        <w:rPr>
          <w:rStyle w:val="CharStyle18"/>
          <w:i w:val="0"/>
          <w:iCs w:val="0"/>
        </w:rPr>
        <w:t>№</w:t>
        <w:tab/>
      </w:r>
      <w:r>
        <w:rPr>
          <w:rStyle w:val="CharStyle16"/>
          <w:i/>
          <w:iCs/>
        </w:rPr>
        <w:t>/4?</w:t>
      </w:r>
    </w:p>
    <w:p>
      <w:pPr>
        <w:pStyle w:val="Style19"/>
        <w:tabs>
          <w:tab w:leader="none" w:pos="2605" w:val="right"/>
        </w:tabs>
        <w:widowControl w:val="0"/>
        <w:keepNext w:val="0"/>
        <w:keepLines w:val="0"/>
        <w:shd w:val="clear" w:color="auto" w:fill="auto"/>
        <w:bidi w:val="0"/>
        <w:spacing w:before="0" w:after="0" w:line="210" w:lineRule="exact"/>
        <w:ind w:left="560" w:right="0" w:firstLine="0"/>
      </w:pPr>
      <w:r>
        <w:rPr>
          <w:rStyle w:val="CharStyle21"/>
        </w:rPr>
        <w:t>На №</w:t>
        <w:tab/>
        <w:t>от</w:t>
      </w:r>
    </w:p>
    <w:p>
      <w:pPr>
        <w:pStyle w:val="Style22"/>
        <w:tabs>
          <w:tab w:leader="underscore" w:pos="5010" w:val="left"/>
        </w:tabs>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 xml:space="preserve">ООО «АРТСТРОЙ-21 ВЕК» (Заявитель </w:t>
      </w:r>
      <w:r>
        <w:rPr>
          <w:rStyle w:val="CharStyle24"/>
          <w:b w:val="0"/>
          <w:bCs w:val="0"/>
        </w:rPr>
        <w:t>1)</w:t>
        <w:tab/>
      </w:r>
    </w:p>
    <w:p>
      <w:pPr>
        <w:pStyle w:val="Style25"/>
        <w:widowControl w:val="0"/>
        <w:keepNext w:val="0"/>
        <w:keepLines w:val="0"/>
        <w:shd w:val="clear" w:color="auto" w:fill="auto"/>
        <w:bidi w:val="0"/>
        <w:jc w:val="left"/>
        <w:spacing w:before="0" w:after="340"/>
        <w:ind w:left="20" w:right="20" w:firstLine="0"/>
      </w:pPr>
      <w:r>
        <w:rPr>
          <w:lang w:val="ru-RU" w:eastAsia="ru-RU" w:bidi="ru-RU"/>
          <w:w w:val="100"/>
          <w:spacing w:val="0"/>
          <w:color w:val="000000"/>
          <w:position w:val="0"/>
        </w:rPr>
        <w:t>182104, Псковская область, г. Великие Луки, ул. Гастелло, дЛ 4/73 Тел.(81153)6-25-75</w:t>
      </w:r>
    </w:p>
    <w:p>
      <w:pPr>
        <w:pStyle w:val="Style22"/>
        <w:widowControl w:val="0"/>
        <w:keepNext w:val="0"/>
        <w:keepLines w:val="0"/>
        <w:shd w:val="clear" w:color="auto" w:fill="auto"/>
        <w:bidi w:val="0"/>
        <w:jc w:val="left"/>
        <w:spacing w:before="0" w:after="5" w:line="260" w:lineRule="exact"/>
        <w:ind w:left="20" w:right="0" w:firstLine="0"/>
      </w:pPr>
      <w:r>
        <w:rPr>
          <w:lang w:val="ru-RU" w:eastAsia="ru-RU" w:bidi="ru-RU"/>
          <w:w w:val="100"/>
          <w:spacing w:val="0"/>
          <w:color w:val="000000"/>
          <w:position w:val="0"/>
        </w:rPr>
        <w:t>ООО «Атлас» (Заявитель 2)</w:t>
      </w:r>
    </w:p>
    <w:p>
      <w:pPr>
        <w:pStyle w:val="Style25"/>
        <w:widowControl w:val="0"/>
        <w:keepNext w:val="0"/>
        <w:keepLines w:val="0"/>
        <w:shd w:val="clear" w:color="auto" w:fill="auto"/>
        <w:bidi w:val="0"/>
        <w:jc w:val="left"/>
        <w:spacing w:before="0" w:after="303" w:line="313" w:lineRule="exact"/>
        <w:ind w:left="20" w:right="20" w:firstLine="0"/>
      </w:pPr>
      <w:r>
        <w:rPr>
          <w:lang w:val="ru-RU" w:eastAsia="ru-RU" w:bidi="ru-RU"/>
          <w:w w:val="100"/>
          <w:spacing w:val="0"/>
          <w:color w:val="000000"/>
          <w:position w:val="0"/>
        </w:rPr>
        <w:t xml:space="preserve">107497, г. Москва, ул. Монтажная, 9, стр.1, помещение IV, комната 13 </w:t>
      </w:r>
      <w:r>
        <w:rPr>
          <w:lang w:val="en-US" w:eastAsia="en-US" w:bidi="en-US"/>
          <w:w w:val="100"/>
          <w:spacing w:val="0"/>
          <w:color w:val="000000"/>
          <w:position w:val="0"/>
        </w:rPr>
        <w:t xml:space="preserve">e-mail: </w:t>
      </w:r>
      <w:r>
        <w:fldChar w:fldCharType="begin"/>
      </w:r>
      <w:r>
        <w:rPr>
          <w:color w:val="000000"/>
        </w:rPr>
        <w:instrText> HYPERLINK "mailto:atlascom@bk.ru" </w:instrText>
      </w:r>
      <w:r>
        <w:fldChar w:fldCharType="separate"/>
      </w:r>
      <w:r>
        <w:rPr>
          <w:rStyle w:val="Hyperlink"/>
          <w:lang w:val="en-US" w:eastAsia="en-US" w:bidi="en-US"/>
          <w:w w:val="100"/>
          <w:spacing w:val="0"/>
          <w:position w:val="0"/>
        </w:rPr>
        <w:t>atlascom@bk.ru</w:t>
      </w:r>
      <w:r>
        <w:fldChar w:fldCharType="end"/>
      </w:r>
    </w:p>
    <w:p>
      <w:pPr>
        <w:pStyle w:val="Style22"/>
        <w:tabs>
          <w:tab w:leader="underscore" w:pos="5010" w:val="left"/>
        </w:tabs>
        <w:widowControl w:val="0"/>
        <w:keepNext w:val="0"/>
        <w:keepLines w:val="0"/>
        <w:shd w:val="clear" w:color="auto" w:fill="auto"/>
        <w:bidi w:val="0"/>
        <w:jc w:val="left"/>
        <w:spacing w:before="0" w:after="0" w:line="310" w:lineRule="exact"/>
        <w:ind w:left="20" w:right="20" w:firstLine="0"/>
      </w:pPr>
      <w:r>
        <w:rPr>
          <w:lang w:val="ru-RU" w:eastAsia="ru-RU" w:bidi="ru-RU"/>
          <w:w w:val="100"/>
          <w:spacing w:val="0"/>
          <w:color w:val="000000"/>
          <w:position w:val="0"/>
        </w:rPr>
        <w:t xml:space="preserve">Отдел МВД России по Нефтекумскому </w:t>
      </w:r>
      <w:r>
        <w:rPr>
          <w:rStyle w:val="CharStyle27"/>
          <w:b/>
          <w:bCs/>
        </w:rPr>
        <w:t>району (Заказчик)</w:t>
      </w:r>
      <w:r>
        <w:rPr>
          <w:lang w:val="ru-RU" w:eastAsia="ru-RU" w:bidi="ru-RU"/>
          <w:w w:val="100"/>
          <w:spacing w:val="0"/>
          <w:color w:val="000000"/>
          <w:position w:val="0"/>
        </w:rPr>
        <w:tab/>
      </w:r>
    </w:p>
    <w:p>
      <w:pPr>
        <w:pStyle w:val="Style25"/>
        <w:widowControl w:val="0"/>
        <w:keepNext w:val="0"/>
        <w:keepLines w:val="0"/>
        <w:shd w:val="clear" w:color="auto" w:fill="auto"/>
        <w:bidi w:val="0"/>
        <w:jc w:val="left"/>
        <w:spacing w:before="0" w:after="0" w:line="306" w:lineRule="exact"/>
        <w:ind w:left="20" w:right="20" w:firstLine="0"/>
        <w:sectPr>
          <w:footnotePr>
            <w:pos w:val="pageBottom"/>
            <w:numFmt w:val="decimal"/>
            <w:numRestart w:val="continuous"/>
          </w:footnotePr>
          <w:type w:val="continuous"/>
          <w:pgSz w:w="11906" w:h="16838"/>
          <w:pgMar w:top="78" w:left="796" w:right="803" w:bottom="852" w:header="0" w:footer="3" w:gutter="0"/>
          <w:rtlGutter w:val="0"/>
          <w:cols w:num="2" w:space="299"/>
          <w:noEndnote/>
          <w:docGrid w:linePitch="360"/>
        </w:sectPr>
      </w:pPr>
      <w:r>
        <w:rPr>
          <w:lang w:val="ru-RU" w:eastAsia="ru-RU" w:bidi="ru-RU"/>
          <w:w w:val="100"/>
          <w:spacing w:val="0"/>
          <w:color w:val="000000"/>
          <w:position w:val="0"/>
        </w:rPr>
        <w:t xml:space="preserve">356884, Ставропольский край, Нефтекумский р-н, г.Нефтекумск, ул. Дзержинского, 7 </w:t>
      </w:r>
      <w:r>
        <w:rPr>
          <w:lang w:val="en-US" w:eastAsia="en-US" w:bidi="en-US"/>
          <w:w w:val="100"/>
          <w:spacing w:val="0"/>
          <w:color w:val="000000"/>
          <w:position w:val="0"/>
        </w:rPr>
        <w:t xml:space="preserve">e-mail: </w:t>
      </w:r>
      <w:r>
        <w:fldChar w:fldCharType="begin"/>
      </w:r>
      <w:r>
        <w:rPr>
          <w:color w:val="000000"/>
        </w:rPr>
        <w:instrText> HYPERLINK "mailto:ovdneftekumsk@mail.ru" </w:instrText>
      </w:r>
      <w:r>
        <w:fldChar w:fldCharType="separate"/>
      </w:r>
      <w:r>
        <w:rPr>
          <w:rStyle w:val="Hyperlink"/>
          <w:lang w:val="en-US" w:eastAsia="en-US" w:bidi="en-US"/>
          <w:w w:val="100"/>
          <w:spacing w:val="0"/>
          <w:position w:val="0"/>
        </w:rPr>
        <w:t>ovdneftekumsk@mail.ru</w:t>
      </w:r>
      <w:r>
        <w:fldChar w:fldCharType="end"/>
      </w:r>
    </w:p>
    <w:p>
      <w:pPr>
        <w:widowControl w:val="0"/>
        <w:spacing w:line="240" w:lineRule="exact"/>
        <w:rPr>
          <w:sz w:val="19"/>
          <w:szCs w:val="19"/>
        </w:rPr>
      </w:pPr>
    </w:p>
    <w:p>
      <w:pPr>
        <w:widowControl w:val="0"/>
        <w:spacing w:before="70" w:after="7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tabs>
          <w:tab w:leader="underscore" w:pos="8771" w:val="left"/>
        </w:tabs>
        <w:widowControl w:val="0"/>
        <w:keepNext w:val="0"/>
        <w:keepLines w:val="0"/>
        <w:shd w:val="clear" w:color="auto" w:fill="auto"/>
        <w:bidi w:val="0"/>
        <w:jc w:val="left"/>
        <w:spacing w:before="0" w:after="0" w:line="317" w:lineRule="exact"/>
        <w:ind w:left="5160" w:right="1140" w:firstLine="0"/>
      </w:pPr>
      <w:r>
        <w:rPr>
          <w:lang w:val="ru-RU" w:eastAsia="ru-RU" w:bidi="ru-RU"/>
          <w:w w:val="100"/>
          <w:spacing w:val="0"/>
          <w:color w:val="000000"/>
          <w:position w:val="0"/>
        </w:rPr>
        <w:t xml:space="preserve">ЗАО «Сбербанк-АСТ» </w:t>
      </w:r>
      <w:r>
        <w:rPr>
          <w:rStyle w:val="CharStyle27"/>
          <w:b/>
          <w:bCs/>
        </w:rPr>
        <w:t>(Оператор)</w:t>
      </w:r>
      <w:r>
        <w:rPr>
          <w:lang w:val="ru-RU" w:eastAsia="ru-RU" w:bidi="ru-RU"/>
          <w:w w:val="100"/>
          <w:spacing w:val="0"/>
          <w:color w:val="000000"/>
          <w:position w:val="0"/>
        </w:rPr>
        <w:tab/>
      </w:r>
    </w:p>
    <w:p>
      <w:pPr>
        <w:pStyle w:val="Style25"/>
        <w:widowControl w:val="0"/>
        <w:keepNext w:val="0"/>
        <w:keepLines w:val="0"/>
        <w:shd w:val="clear" w:color="auto" w:fill="auto"/>
        <w:bidi w:val="0"/>
        <w:jc w:val="left"/>
        <w:spacing w:before="0" w:after="0"/>
        <w:ind w:left="5160" w:right="0" w:firstLine="0"/>
      </w:pPr>
      <w:r>
        <w:rPr>
          <w:lang w:val="ru-RU" w:eastAsia="ru-RU" w:bidi="ru-RU"/>
          <w:w w:val="100"/>
          <w:spacing w:val="0"/>
          <w:color w:val="000000"/>
          <w:position w:val="0"/>
        </w:rPr>
        <w:t>119180, г. Москва,</w:t>
      </w:r>
    </w:p>
    <w:p>
      <w:pPr>
        <w:pStyle w:val="Style25"/>
        <w:widowControl w:val="0"/>
        <w:keepNext w:val="0"/>
        <w:keepLines w:val="0"/>
        <w:shd w:val="clear" w:color="auto" w:fill="auto"/>
        <w:bidi w:val="0"/>
        <w:jc w:val="left"/>
        <w:spacing w:before="0" w:after="0"/>
        <w:ind w:left="5160" w:right="0" w:firstLine="0"/>
      </w:pPr>
      <w:r>
        <w:rPr>
          <w:lang w:val="ru-RU" w:eastAsia="ru-RU" w:bidi="ru-RU"/>
          <w:w w:val="100"/>
          <w:spacing w:val="0"/>
          <w:color w:val="000000"/>
          <w:position w:val="0"/>
        </w:rPr>
        <w:t>ул. Большая Якиманка, дом 23.</w:t>
      </w:r>
    </w:p>
    <w:p>
      <w:pPr>
        <w:pStyle w:val="Style25"/>
        <w:widowControl w:val="0"/>
        <w:keepNext w:val="0"/>
        <w:keepLines w:val="0"/>
        <w:shd w:val="clear" w:color="auto" w:fill="auto"/>
        <w:bidi w:val="0"/>
        <w:jc w:val="left"/>
        <w:spacing w:before="0" w:after="603"/>
        <w:ind w:left="5160" w:right="0" w:firstLine="0"/>
      </w:pPr>
      <w:r>
        <w:rPr>
          <w:lang w:val="en-US" w:eastAsia="en-US" w:bidi="en-US"/>
          <w:w w:val="100"/>
          <w:spacing w:val="0"/>
          <w:color w:val="000000"/>
          <w:position w:val="0"/>
        </w:rPr>
        <w:t xml:space="preserve">e-mail: </w:t>
      </w:r>
      <w:r>
        <w:fldChar w:fldCharType="begin"/>
      </w:r>
      <w:r>
        <w:rPr>
          <w:rStyle w:val="CharStyle28"/>
        </w:rPr>
        <w:instrText> HYPERLINK "mailto:ko@sberbank-ast.ru" </w:instrText>
      </w:r>
      <w:r>
        <w:fldChar w:fldCharType="separate"/>
      </w:r>
      <w:r>
        <w:rPr>
          <w:rStyle w:val="Hyperlink"/>
        </w:rPr>
        <w:t>ko@sberbank-ast.ru</w:t>
      </w:r>
      <w:r>
        <w:fldChar w:fldCharType="end"/>
      </w:r>
    </w:p>
    <w:p>
      <w:pPr>
        <w:pStyle w:val="Style22"/>
        <w:widowControl w:val="0"/>
        <w:keepNext w:val="0"/>
        <w:keepLines w:val="0"/>
        <w:shd w:val="clear" w:color="auto" w:fill="auto"/>
        <w:bidi w:val="0"/>
        <w:jc w:val="center"/>
        <w:spacing w:before="0" w:after="277" w:line="306" w:lineRule="exact"/>
        <w:ind w:left="0" w:right="440" w:firstLine="0"/>
      </w:pPr>
      <w:r>
        <w:rPr>
          <w:lang w:val="ru-RU" w:eastAsia="ru-RU" w:bidi="ru-RU"/>
          <w:w w:val="100"/>
          <w:spacing w:val="0"/>
          <w:color w:val="000000"/>
          <w:position w:val="0"/>
        </w:rPr>
        <w:t>РЕШЕНИЕ по делам № 910/06, №927/06 о нарушении законодательства Российской Федерации о контрактной системе</w:t>
      </w:r>
    </w:p>
    <w:p>
      <w:pPr>
        <w:pStyle w:val="Style25"/>
        <w:tabs>
          <w:tab w:leader="none" w:pos="7724" w:val="left"/>
        </w:tabs>
        <w:widowControl w:val="0"/>
        <w:keepNext w:val="0"/>
        <w:keepLines w:val="0"/>
        <w:shd w:val="clear" w:color="auto" w:fill="auto"/>
        <w:bidi w:val="0"/>
        <w:jc w:val="both"/>
        <w:spacing w:before="0" w:after="254" w:line="260" w:lineRule="exact"/>
        <w:ind w:left="20" w:right="0" w:firstLine="540"/>
      </w:pPr>
      <w:r>
        <w:rPr>
          <w:lang w:val="ru-RU" w:eastAsia="ru-RU" w:bidi="ru-RU"/>
          <w:w w:val="100"/>
          <w:spacing w:val="0"/>
          <w:color w:val="000000"/>
          <w:position w:val="0"/>
        </w:rPr>
        <w:t>03.05.2017 г.</w:t>
        <w:tab/>
        <w:t>г. Ростов-на-Дону</w:t>
      </w:r>
    </w:p>
    <w:p>
      <w:pPr>
        <w:pStyle w:val="Style25"/>
        <w:widowControl w:val="0"/>
        <w:keepNext w:val="0"/>
        <w:keepLines w:val="0"/>
        <w:shd w:val="clear" w:color="auto" w:fill="auto"/>
        <w:bidi w:val="0"/>
        <w:jc w:val="both"/>
        <w:spacing w:before="0" w:after="234"/>
        <w:ind w:left="20" w:right="20" w:firstLine="54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о контрактной системе в сфере закупок в составе:</w:t>
      </w:r>
    </w:p>
    <w:p>
      <w:pPr>
        <w:pStyle w:val="Style25"/>
        <w:tabs>
          <w:tab w:leader="none" w:pos="7998" w:val="left"/>
        </w:tabs>
        <w:widowControl w:val="0"/>
        <w:keepNext w:val="0"/>
        <w:keepLines w:val="0"/>
        <w:shd w:val="clear" w:color="auto" w:fill="auto"/>
        <w:bidi w:val="0"/>
        <w:jc w:val="both"/>
        <w:spacing w:before="0" w:after="0" w:line="317" w:lineRule="exact"/>
        <w:ind w:left="20" w:right="0" w:firstLine="540"/>
      </w:pPr>
      <w:r>
        <w:rPr>
          <w:lang w:val="ru-RU" w:eastAsia="ru-RU" w:bidi="ru-RU"/>
          <w:w w:val="100"/>
          <w:spacing w:val="0"/>
          <w:color w:val="000000"/>
          <w:position w:val="0"/>
        </w:rPr>
        <w:t>Председатель Комиссии:</w:t>
        <w:tab/>
        <w:t>С.В. Батурин</w:t>
      </w:r>
    </w:p>
    <w:p>
      <w:pPr>
        <w:pStyle w:val="Style25"/>
        <w:tabs>
          <w:tab w:leader="none" w:pos="7724" w:val="left"/>
        </w:tabs>
        <w:widowControl w:val="0"/>
        <w:keepNext w:val="0"/>
        <w:keepLines w:val="0"/>
        <w:shd w:val="clear" w:color="auto" w:fill="auto"/>
        <w:bidi w:val="0"/>
        <w:jc w:val="both"/>
        <w:spacing w:before="0" w:after="0" w:line="317" w:lineRule="exact"/>
        <w:ind w:left="20" w:right="0" w:firstLine="540"/>
      </w:pPr>
      <w:r>
        <w:rPr>
          <w:lang w:val="ru-RU" w:eastAsia="ru-RU" w:bidi="ru-RU"/>
          <w:w w:val="100"/>
          <w:spacing w:val="0"/>
          <w:color w:val="000000"/>
          <w:position w:val="0"/>
        </w:rPr>
        <w:t>Члены Комиссии:</w:t>
        <w:tab/>
        <w:t>А.А. Полубедов,</w:t>
      </w:r>
    </w:p>
    <w:p>
      <w:pPr>
        <w:pStyle w:val="Style25"/>
        <w:tabs>
          <w:tab w:leader="none" w:pos="8570" w:val="left"/>
        </w:tabs>
        <w:widowControl w:val="0"/>
        <w:keepNext w:val="0"/>
        <w:keepLines w:val="0"/>
        <w:shd w:val="clear" w:color="auto" w:fill="auto"/>
        <w:bidi w:val="0"/>
        <w:jc w:val="both"/>
        <w:spacing w:before="0" w:after="249" w:line="317" w:lineRule="exact"/>
        <w:ind w:left="7980" w:right="0" w:firstLine="0"/>
      </w:pPr>
      <w:r>
        <w:rPr>
          <w:lang w:val="ru-RU" w:eastAsia="ru-RU" w:bidi="ru-RU"/>
          <w:w w:val="100"/>
          <w:spacing w:val="0"/>
          <w:color w:val="000000"/>
          <w:position w:val="0"/>
        </w:rPr>
        <w:t>Н.А. Путинцев,</w:t>
      </w:r>
    </w:p>
    <w:p>
      <w:pPr>
        <w:pStyle w:val="Style25"/>
        <w:widowControl w:val="0"/>
        <w:keepNext w:val="0"/>
        <w:keepLines w:val="0"/>
        <w:shd w:val="clear" w:color="auto" w:fill="auto"/>
        <w:bidi w:val="0"/>
        <w:jc w:val="both"/>
        <w:spacing w:before="0" w:after="0" w:line="306" w:lineRule="exact"/>
        <w:ind w:left="20" w:right="20" w:firstLine="540"/>
      </w:pPr>
      <w:r>
        <w:rPr>
          <w:lang w:val="ru-RU" w:eastAsia="ru-RU" w:bidi="ru-RU"/>
          <w:w w:val="100"/>
          <w:spacing w:val="0"/>
          <w:color w:val="000000"/>
          <w:position w:val="0"/>
        </w:rPr>
        <w:t>рассмотрев дела № 910/06, №927/06 о нарушении норм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для закупки №0321100003617000024 Здания сборные из металла (далее - аукцион), размещенного Заказчиком - Отделом МВД России по Нефтекумскому району (далее - Заказчик), в присутствии представителя</w:t>
      </w:r>
    </w:p>
    <w:p>
      <w:pPr>
        <w:pStyle w:val="Style25"/>
        <w:widowControl w:val="0"/>
        <w:keepNext w:val="0"/>
        <w:keepLines w:val="0"/>
        <w:shd w:val="clear" w:color="auto" w:fill="auto"/>
        <w:bidi w:val="0"/>
        <w:jc w:val="left"/>
        <w:spacing w:before="0" w:after="646" w:line="317" w:lineRule="exact"/>
        <w:ind w:left="40" w:right="400" w:firstLine="0"/>
      </w:pPr>
      <w:r>
        <w:rPr>
          <w:lang w:val="ru-RU" w:eastAsia="ru-RU" w:bidi="ru-RU"/>
          <w:w w:val="100"/>
          <w:spacing w:val="0"/>
          <w:color w:val="000000"/>
          <w:position w:val="0"/>
        </w:rPr>
        <w:t>Заказчика (Шлыковой А.В.), в отсутствие представителей ООО «АРТСТРОЙ-21 ВЕК» (далее - Заявитель 1), ООО «Атлас» (далее - Заявитель 2)</w:t>
      </w:r>
    </w:p>
    <w:p>
      <w:pPr>
        <w:pStyle w:val="Style29"/>
        <w:widowControl w:val="0"/>
        <w:keepNext/>
        <w:keepLines/>
        <w:shd w:val="clear" w:color="auto" w:fill="auto"/>
        <w:bidi w:val="0"/>
        <w:spacing w:before="0" w:after="263" w:line="260" w:lineRule="exact"/>
        <w:ind w:left="0" w:right="60" w:firstLine="0"/>
      </w:pPr>
      <w:bookmarkStart w:id="0" w:name="bookmark0"/>
      <w:r>
        <w:rPr>
          <w:lang w:val="ru-RU" w:eastAsia="ru-RU" w:bidi="ru-RU"/>
          <w:w w:val="100"/>
          <w:spacing w:val="0"/>
          <w:color w:val="000000"/>
          <w:position w:val="0"/>
        </w:rPr>
        <w:t>УСТАНОВИЛА:</w:t>
      </w:r>
      <w:bookmarkEnd w:id="0"/>
    </w:p>
    <w:p>
      <w:pPr>
        <w:pStyle w:val="Style25"/>
        <w:widowControl w:val="0"/>
        <w:keepNext w:val="0"/>
        <w:keepLines w:val="0"/>
        <w:shd w:val="clear" w:color="auto" w:fill="auto"/>
        <w:bidi w:val="0"/>
        <w:jc w:val="both"/>
        <w:spacing w:before="0" w:after="0" w:line="313" w:lineRule="exact"/>
        <w:ind w:left="40" w:right="540" w:firstLine="560"/>
      </w:pPr>
      <w:r>
        <w:rPr>
          <w:lang w:val="ru-RU" w:eastAsia="ru-RU" w:bidi="ru-RU"/>
          <w:w w:val="100"/>
          <w:spacing w:val="0"/>
          <w:color w:val="000000"/>
          <w:position w:val="0"/>
        </w:rPr>
        <w:t>В Ростовское УФАС России 27.04.2017 г. из ФАС России поступила жалоба ООО «АРТСТРОЙ-21 ВЕК» (вх. № 6350 дело № 910/06) по отказу в допуске к участию в электронном аукционе для закупки №0321100003617000024.</w:t>
      </w:r>
    </w:p>
    <w:p>
      <w:pPr>
        <w:pStyle w:val="Style25"/>
        <w:widowControl w:val="0"/>
        <w:keepNext w:val="0"/>
        <w:keepLines w:val="0"/>
        <w:shd w:val="clear" w:color="auto" w:fill="auto"/>
        <w:bidi w:val="0"/>
        <w:jc w:val="both"/>
        <w:spacing w:before="0" w:after="0" w:line="313" w:lineRule="exact"/>
        <w:ind w:left="40" w:right="540" w:firstLine="560"/>
      </w:pPr>
      <w:r>
        <w:rPr>
          <w:lang w:val="ru-RU" w:eastAsia="ru-RU" w:bidi="ru-RU"/>
          <w:w w:val="100"/>
          <w:spacing w:val="0"/>
          <w:color w:val="000000"/>
          <w:position w:val="0"/>
        </w:rPr>
        <w:t>Вместе с этим, в Ростовское УФАС России 28.04.2017 г. из Ставропольского УФАС России поступила жалоба ООО «Атлас» (вх. №6367, дело № 927/06) на положения документации по электронному аукциону для закупки №0321100003617000024.</w:t>
      </w:r>
    </w:p>
    <w:p>
      <w:pPr>
        <w:pStyle w:val="Style25"/>
        <w:widowControl w:val="0"/>
        <w:keepNext w:val="0"/>
        <w:keepLines w:val="0"/>
        <w:shd w:val="clear" w:color="auto" w:fill="auto"/>
        <w:bidi w:val="0"/>
        <w:jc w:val="both"/>
        <w:spacing w:before="0" w:after="0"/>
        <w:ind w:left="40" w:right="0" w:firstLine="560"/>
      </w:pPr>
      <w:r>
        <w:rPr>
          <w:lang w:val="ru-RU" w:eastAsia="ru-RU" w:bidi="ru-RU"/>
          <w:w w:val="100"/>
          <w:spacing w:val="0"/>
          <w:color w:val="000000"/>
          <w:position w:val="0"/>
        </w:rPr>
        <w:t>Ростовское УФАС России исх. от 28.04.2017 г. № 7248/06, исх. от 28.04.2017 г.</w:t>
      </w:r>
    </w:p>
    <w:p>
      <w:pPr>
        <w:pStyle w:val="Style25"/>
        <w:widowControl w:val="0"/>
        <w:keepNext w:val="0"/>
        <w:keepLines w:val="0"/>
        <w:shd w:val="clear" w:color="auto" w:fill="auto"/>
        <w:bidi w:val="0"/>
        <w:jc w:val="left"/>
        <w:spacing w:before="0" w:after="0"/>
        <w:ind w:left="40" w:right="540" w:firstLine="0"/>
      </w:pPr>
      <w:r>
        <w:rPr>
          <w:lang w:val="ru-RU" w:eastAsia="ru-RU" w:bidi="ru-RU"/>
          <w:w w:val="100"/>
          <w:spacing w:val="0"/>
          <w:color w:val="000000"/>
          <w:position w:val="0"/>
        </w:rPr>
        <w:t>№ 7335/06 в соответствии с ч.7 ст. 106 Закона приостановило размещение названной закупки в части подписания контракта до рассмотрения названных жалоб.</w:t>
      </w:r>
    </w:p>
    <w:p>
      <w:pPr>
        <w:pStyle w:val="Style25"/>
        <w:widowControl w:val="0"/>
        <w:keepNext w:val="0"/>
        <w:keepLines w:val="0"/>
        <w:shd w:val="clear" w:color="auto" w:fill="auto"/>
        <w:bidi w:val="0"/>
        <w:jc w:val="both"/>
        <w:spacing w:before="0" w:after="0"/>
        <w:ind w:left="40" w:right="540" w:firstLine="560"/>
      </w:pPr>
      <w:r>
        <w:rPr>
          <w:lang w:val="ru-RU" w:eastAsia="ru-RU" w:bidi="ru-RU"/>
          <w:w w:val="100"/>
          <w:spacing w:val="0"/>
          <w:color w:val="000000"/>
          <w:position w:val="0"/>
        </w:rPr>
        <w:t>Заказчик представил в материалы дела отзыв, копии документов по названному аукциону. С доводами жалоб Заказчик не согласен, в удовлетворении жалоб просит отказать.</w:t>
      </w:r>
    </w:p>
    <w:p>
      <w:pPr>
        <w:pStyle w:val="Style25"/>
        <w:widowControl w:val="0"/>
        <w:keepNext w:val="0"/>
        <w:keepLines w:val="0"/>
        <w:shd w:val="clear" w:color="auto" w:fill="auto"/>
        <w:bidi w:val="0"/>
        <w:jc w:val="both"/>
        <w:spacing w:before="0" w:after="0"/>
        <w:ind w:left="40" w:right="400" w:firstLine="560"/>
      </w:pPr>
      <w:r>
        <w:rPr>
          <w:lang w:val="ru-RU" w:eastAsia="ru-RU" w:bidi="ru-RU"/>
          <w:w w:val="100"/>
          <w:spacing w:val="0"/>
          <w:color w:val="000000"/>
          <w:position w:val="0"/>
        </w:rPr>
        <w:t>В соответствии с ч.З ст.99 Закона, п.3.31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года №727/14 (далее - Регламент) по данным жалобам проведена внеплановая проверка закупки, в результате которой установлено следующее:</w:t>
      </w:r>
    </w:p>
    <w:p>
      <w:pPr>
        <w:pStyle w:val="Style25"/>
        <w:widowControl w:val="0"/>
        <w:keepNext w:val="0"/>
        <w:keepLines w:val="0"/>
        <w:shd w:val="clear" w:color="auto" w:fill="auto"/>
        <w:bidi w:val="0"/>
        <w:jc w:val="both"/>
        <w:spacing w:before="0" w:after="0"/>
        <w:ind w:left="40" w:right="540" w:firstLine="560"/>
      </w:pPr>
      <w:r>
        <w:rPr>
          <w:lang w:val="ru-RU" w:eastAsia="ru-RU" w:bidi="ru-RU"/>
          <w:w w:val="100"/>
          <w:spacing w:val="0"/>
          <w:color w:val="000000"/>
          <w:position w:val="0"/>
        </w:rPr>
        <w:t xml:space="preserve">03.04.2017г. на официальном сайте Единой информационной системы в сфере закупок </w:t>
      </w:r>
      <w:r>
        <w:fldChar w:fldCharType="begin"/>
      </w:r>
      <w:r>
        <w:rPr>
          <w:rStyle w:val="CharStyle28"/>
        </w:rPr>
        <w:instrText> HYPERLINK "http://www.zakupki.gov.ru" </w:instrText>
      </w:r>
      <w:r>
        <w:fldChar w:fldCharType="separate"/>
      </w:r>
      <w:r>
        <w:rPr>
          <w:rStyle w:val="Hyperlink"/>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официальный сайт) Заказчиком размещено извещение о проведении электронного аукциона для закупки № №0321100003617000024, аукционная документация.</w:t>
      </w:r>
    </w:p>
    <w:p>
      <w:pPr>
        <w:pStyle w:val="Style25"/>
        <w:widowControl w:val="0"/>
        <w:keepNext w:val="0"/>
        <w:keepLines w:val="0"/>
        <w:shd w:val="clear" w:color="auto" w:fill="auto"/>
        <w:bidi w:val="0"/>
        <w:jc w:val="both"/>
        <w:spacing w:before="0" w:after="0"/>
        <w:ind w:left="40" w:right="0" w:firstLine="560"/>
      </w:pPr>
      <w:r>
        <w:rPr>
          <w:lang w:val="ru-RU" w:eastAsia="ru-RU" w:bidi="ru-RU"/>
          <w:w w:val="100"/>
          <w:spacing w:val="0"/>
          <w:color w:val="000000"/>
          <w:position w:val="0"/>
        </w:rPr>
        <w:t>Дата и время окончания подачи заявок - 20.04.2017 г. в 10:00 ч.</w:t>
      </w:r>
    </w:p>
    <w:p>
      <w:pPr>
        <w:pStyle w:val="Style25"/>
        <w:widowControl w:val="0"/>
        <w:keepNext w:val="0"/>
        <w:keepLines w:val="0"/>
        <w:shd w:val="clear" w:color="auto" w:fill="auto"/>
        <w:bidi w:val="0"/>
        <w:jc w:val="both"/>
        <w:spacing w:before="0" w:after="0"/>
        <w:ind w:left="40" w:right="0" w:firstLine="560"/>
      </w:pPr>
      <w:r>
        <w:rPr>
          <w:lang w:val="ru-RU" w:eastAsia="ru-RU" w:bidi="ru-RU"/>
          <w:w w:val="100"/>
          <w:spacing w:val="0"/>
          <w:color w:val="000000"/>
          <w:position w:val="0"/>
        </w:rPr>
        <w:t>Начальная (максимальная) цена контракта - 12 112333,33 рублей.</w:t>
      </w:r>
    </w:p>
    <w:p>
      <w:pPr>
        <w:pStyle w:val="Style25"/>
        <w:widowControl w:val="0"/>
        <w:keepNext w:val="0"/>
        <w:keepLines w:val="0"/>
        <w:shd w:val="clear" w:color="auto" w:fill="auto"/>
        <w:bidi w:val="0"/>
        <w:jc w:val="both"/>
        <w:spacing w:before="0" w:after="0"/>
        <w:ind w:left="40" w:right="540" w:firstLine="560"/>
      </w:pPr>
      <w:r>
        <w:rPr>
          <w:lang w:val="ru-RU" w:eastAsia="ru-RU" w:bidi="ru-RU"/>
          <w:w w:val="100"/>
          <w:spacing w:val="0"/>
          <w:color w:val="000000"/>
          <w:position w:val="0"/>
        </w:rPr>
        <w:t>Финансирование указанной закупки осуществляется из федерального бюджета в рамках государственного оборонного заказа.</w:t>
      </w:r>
    </w:p>
    <w:p>
      <w:pPr>
        <w:pStyle w:val="Style25"/>
        <w:widowControl w:val="0"/>
        <w:keepNext w:val="0"/>
        <w:keepLines w:val="0"/>
        <w:shd w:val="clear" w:color="auto" w:fill="auto"/>
        <w:bidi w:val="0"/>
        <w:jc w:val="both"/>
        <w:spacing w:before="0" w:after="0"/>
        <w:ind w:left="40" w:right="540" w:firstLine="560"/>
      </w:pPr>
      <w:r>
        <w:rPr>
          <w:lang w:val="ru-RU" w:eastAsia="ru-RU" w:bidi="ru-RU"/>
          <w:w w:val="100"/>
          <w:spacing w:val="0"/>
          <w:color w:val="000000"/>
          <w:position w:val="0"/>
        </w:rPr>
        <w:t xml:space="preserve">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размещены протокол рассмотрения заявок на участие в электронном аукционе от 20.04.2017 №0321100003617000024-1 (протокол №1), протокол проведения электронного аукциона от 24.04.2017 №0321100003617000024-2 (протокол №2), протокол подведения итогов электронного аукциона от 27.04.2017 №0321100003617000024-3 (протокол №3).</w:t>
      </w:r>
    </w:p>
    <w:p>
      <w:pPr>
        <w:pStyle w:val="Style25"/>
        <w:widowControl w:val="0"/>
        <w:keepNext w:val="0"/>
        <w:keepLines w:val="0"/>
        <w:shd w:val="clear" w:color="auto" w:fill="auto"/>
        <w:bidi w:val="0"/>
        <w:jc w:val="both"/>
        <w:spacing w:before="0" w:after="0"/>
        <w:ind w:left="40" w:right="260" w:firstLine="560"/>
      </w:pPr>
      <w:r>
        <w:rPr>
          <w:lang w:val="ru-RU" w:eastAsia="ru-RU" w:bidi="ru-RU"/>
          <w:w w:val="100"/>
          <w:spacing w:val="0"/>
          <w:color w:val="000000"/>
          <w:position w:val="0"/>
        </w:rPr>
        <w:t>В результате анализа извещения о проведении электронного аукциона, документации об электронном аукционе, возражения на доводы жалобы, доводов Заявителя установлено:</w:t>
      </w:r>
    </w:p>
    <w:p>
      <w:pPr>
        <w:pStyle w:val="Style25"/>
        <w:numPr>
          <w:ilvl w:val="0"/>
          <w:numId w:val="1"/>
        </w:numPr>
        <w:tabs>
          <w:tab w:leader="none" w:pos="2076" w:val="left"/>
        </w:tabs>
        <w:widowControl w:val="0"/>
        <w:keepNext w:val="0"/>
        <w:keepLines w:val="0"/>
        <w:shd w:val="clear" w:color="auto" w:fill="auto"/>
        <w:bidi w:val="0"/>
        <w:jc w:val="both"/>
        <w:spacing w:before="0" w:after="0"/>
        <w:ind w:left="20" w:right="160" w:firstLine="560"/>
      </w:pPr>
      <w:r>
        <w:rPr>
          <w:lang w:val="ru-RU" w:eastAsia="ru-RU" w:bidi="ru-RU"/>
          <w:w w:val="100"/>
          <w:spacing w:val="0"/>
          <w:color w:val="000000"/>
          <w:position w:val="0"/>
        </w:rPr>
        <w:t>Согласно протоколу №0321100003617000024-1 рассмотрения заявок на участие в электронном аукционе от 20.04.2017 из шести поданных заявок на участие в аукционе комиссией Заказчика не были допущены к участию в аукционе четыре заявки, в том числе заявка Заявителя 1 (порядковый номер 6).</w:t>
      </w:r>
    </w:p>
    <w:p>
      <w:pPr>
        <w:pStyle w:val="Style25"/>
        <w:tabs>
          <w:tab w:leader="none" w:pos="1215" w:val="left"/>
        </w:tabs>
        <w:widowControl w:val="0"/>
        <w:keepNext w:val="0"/>
        <w:keepLines w:val="0"/>
        <w:shd w:val="clear" w:color="auto" w:fill="auto"/>
        <w:bidi w:val="0"/>
        <w:jc w:val="both"/>
        <w:spacing w:before="0" w:after="0"/>
        <w:ind w:left="20" w:right="160" w:firstLine="560"/>
      </w:pPr>
      <w:r>
        <w:rPr>
          <w:lang w:val="ru-RU" w:eastAsia="ru-RU" w:bidi="ru-RU"/>
          <w:w w:val="100"/>
          <w:spacing w:val="0"/>
          <w:color w:val="000000"/>
          <w:position w:val="0"/>
        </w:rPr>
        <w:t>Заявка Заявителя 1 (порядковый номер 6) не была допущена к участию в аукционе по следующим основаниям: «Предоставление недостоверных сведений, непредоставление конкретного показателя, причина отклонения п.1 ч.4 чт.67 Закона:</w:t>
        <w:tab/>
        <w:t>Участник в своей заявке предоставляет «Стеклопакет вида-</w:t>
      </w:r>
    </w:p>
    <w:p>
      <w:pPr>
        <w:pStyle w:val="Style25"/>
        <w:widowControl w:val="0"/>
        <w:keepNext w:val="0"/>
        <w:keepLines w:val="0"/>
        <w:shd w:val="clear" w:color="auto" w:fill="auto"/>
        <w:bidi w:val="0"/>
        <w:jc w:val="both"/>
        <w:spacing w:before="0" w:after="0"/>
        <w:ind w:left="20" w:right="160" w:firstLine="0"/>
      </w:pPr>
      <w:r>
        <w:rPr>
          <w:lang w:val="ru-RU" w:eastAsia="ru-RU" w:bidi="ru-RU"/>
          <w:w w:val="100"/>
          <w:spacing w:val="0"/>
          <w:color w:val="000000"/>
          <w:position w:val="0"/>
        </w:rPr>
        <w:t>общестроительного назначения», но вместе с тем «УД, Э, С, М, Ш» являются согласно п.3.3 ГОСТ 24866-99 (соответствие которому декларирует участник) видами стеклопакетов строительного назначения со специальными свойствами, таким образом не представлен конкретный показатель данного параметра. Участник в своей заявке предоставляет «коэффициент направленного пропускания света, %,65», в то время как согласно таблице 4 ГОСТ 24866-99 (соответствие которому декларирует участник), минимальное значение данного показателя для любого из перечисленных им видов стеклопакетов составляет 67%, таким образом представлен недостоверный показатель данного параметра. Участник в своей заявке указывает толщину двухкамерного стеклопакета 24 мм, но вместе с тем толщину стекла 4 мм и расстояние между стеклами 36 мм, соответственно, завленная толщина стеклопакета составляет 4+36+4+4=48мм, таким образом представлен недостоверный показатель параметра. Участник в своей заявке предоставляет «звукоизоляция, дБ,25» в то время как этот показатель для любого вида стеклопакета согласно таблице 4 ГОСТ 24866-99 (соответствие которому декларирует участник), минимальное значение данного показателя для любого из перечисленных им видов стеклопакетов составляет 27дБ, таким образом предоставлен недостоверный показатель данного параметра.»</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соответствии с частью 1 статьи 67 Закона аукционная комиссия проверяет первые части заявок на участие в электронном аукционе, содержащие информацию, предусмотренную частью 3 статьи 66 Закона, на соответствие требованиям, установленным документацией о таком аукционе в отношении закупаемых товаров, работ, услуг. В соответствии с частью 5 статьи 67 Закона отказ в допуске к участию в электронном аукционе не допускается, за исключением случаев предусмотренных частью 4 статьи 67 Закона, а именно, участник электронного аукциона не допускается к участию в нем в случае: 1) не предоставления информации, предусмотренной частью 3 статьи 66 Закона, или предоставления недостоверной информации; 2) несоответствия информации, предусмотренной частью 3 статьи 66 Закона, требованиям документации о таком аукционе.</w:t>
      </w:r>
    </w:p>
    <w:p>
      <w:pPr>
        <w:pStyle w:val="Style25"/>
        <w:widowControl w:val="0"/>
        <w:keepNext w:val="0"/>
        <w:keepLines w:val="0"/>
        <w:shd w:val="clear" w:color="auto" w:fill="auto"/>
        <w:bidi w:val="0"/>
        <w:jc w:val="both"/>
        <w:spacing w:before="0" w:after="0"/>
        <w:ind w:left="20" w:right="160" w:firstLine="560"/>
      </w:pPr>
      <w:r>
        <w:rPr>
          <w:lang w:val="ru-RU" w:eastAsia="ru-RU" w:bidi="ru-RU"/>
          <w:w w:val="100"/>
          <w:spacing w:val="0"/>
          <w:color w:val="000000"/>
          <w:position w:val="0"/>
        </w:rPr>
        <w:t>Подпунктом «б» пункта 1 части 3 статьи 66 Закона установлена необходимость представления участниками закупки конкретных показателей, соответствующих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25"/>
        <w:widowControl w:val="0"/>
        <w:keepNext w:val="0"/>
        <w:keepLines w:val="0"/>
        <w:shd w:val="clear" w:color="auto" w:fill="auto"/>
        <w:bidi w:val="0"/>
        <w:jc w:val="both"/>
        <w:spacing w:before="0" w:after="0"/>
        <w:ind w:left="20" w:right="160" w:firstLine="560"/>
      </w:pPr>
      <w:r>
        <w:rPr>
          <w:lang w:val="ru-RU" w:eastAsia="ru-RU" w:bidi="ru-RU"/>
          <w:w w:val="100"/>
          <w:spacing w:val="0"/>
          <w:color w:val="000000"/>
          <w:position w:val="0"/>
        </w:rPr>
        <w:t>В соответствии с требованиями к первой части заявки на участие в электронном аукционе подпункт б) пункта 11.2.2 информационной карты</w:t>
      </w:r>
    </w:p>
    <w:p>
      <w:pPr>
        <w:pStyle w:val="Style2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документации об аукционе Заказчиком установлено, что участники закупки в составе первой части должны представить конкретные показатели, соответствующие значениям, установленным в части V «Техническая часть» настоящей документации об электронном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части IV аукционной документации «Инструкция по заполнению заявки на участие в электронном аукционе» установлено, что конкретные показатели - это показатели, которые однозначно идентифицируют товар и заполняются в соответствии с ЧАСТЬЮ V «Техническая часть» настоящей документации об электронном аукционе. При этом не допускается использование формулировок «или», «не более», «не менее», указания двух или более значений, за исключением случаев установленных настоящей документацией или когда указанным способом показатели характеристик товара обозначаются производителем товара.</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пункте «Описание объекта закупки наименование, количество, комплектация, характеристика» части V технического задания Заказчиком установлено в том числе: «Окна должны быть ... Количество камер - рама 3-5 / створка 3-5/импост 3-5...Стеклопакет должен представлять собой объемное изделие, состоящее из двух или трех листов стекла, соединенных между собой по контуру ... Стеклопакет нужен толщиной не менее 24 мм, однокамерный или двухкамерный. Расстояние между стеклами необходимо от 8 до 36 мм, толщина стекла не менее 4 мм. Стеклопакет вида - общестроительного назначения, Уд. Э, С, М, Ш должен иметь следующие характеристики:- коэффициент направленного пропускания света, %, не менее 65; звукоизоляция, дБ, не менее 25...Профиль ПВХ, оконные блоки ПВХ, стеклопакеты, устройства открывания и закрывания должны соответствовать требованиям согласно нормативным документам действующим на территории РФ, 30674-99, 24866-99, согласно нормативным документам действующим на территории РФ.»</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В заявке Заявителя 1 указано: «Стеклопакет представляет собой объемное изделие, </w:t>
      </w:r>
      <w:r>
        <w:rPr>
          <w:rStyle w:val="CharStyle31"/>
        </w:rPr>
        <w:t xml:space="preserve">состоящее из трех листов стекла, </w:t>
      </w:r>
      <w:r>
        <w:rPr>
          <w:lang w:val="ru-RU" w:eastAsia="ru-RU" w:bidi="ru-RU"/>
          <w:w w:val="100"/>
          <w:spacing w:val="0"/>
          <w:color w:val="000000"/>
          <w:position w:val="0"/>
        </w:rPr>
        <w:t xml:space="preserve">соединенных между собой по контуру с помощью дистанционных рамок и герметиков, образующих герметически замкнутые камеры, заполненные осушенным воздухом. </w:t>
      </w:r>
      <w:r>
        <w:rPr>
          <w:rStyle w:val="CharStyle31"/>
        </w:rPr>
        <w:t xml:space="preserve">Стеклопакет толщиной 24 мм, двухкамерный. Расстояние между стеклами 36 мм, толщина стекла 4 мм. Стеклопакет вида - общестроительного назначения, Уд. </w:t>
      </w:r>
      <w:r>
        <w:rPr>
          <w:lang w:val="ru-RU" w:eastAsia="ru-RU" w:bidi="ru-RU"/>
          <w:w w:val="100"/>
          <w:spacing w:val="0"/>
          <w:color w:val="000000"/>
          <w:position w:val="0"/>
        </w:rPr>
        <w:t xml:space="preserve">Э, </w:t>
      </w:r>
      <w:r>
        <w:rPr>
          <w:rStyle w:val="CharStyle31"/>
        </w:rPr>
        <w:t xml:space="preserve">С, М, </w:t>
      </w:r>
      <w:r>
        <w:rPr>
          <w:lang w:val="ru-RU" w:eastAsia="ru-RU" w:bidi="ru-RU"/>
          <w:w w:val="100"/>
          <w:spacing w:val="0"/>
          <w:color w:val="000000"/>
          <w:position w:val="0"/>
        </w:rPr>
        <w:t xml:space="preserve">Ш имеет следующие характеристики:- коэффициент направленного пропускания света, %, </w:t>
      </w:r>
      <w:r>
        <w:rPr>
          <w:rStyle w:val="CharStyle31"/>
        </w:rPr>
        <w:t xml:space="preserve">65; </w:t>
      </w:r>
      <w:r>
        <w:rPr>
          <w:lang w:val="ru-RU" w:eastAsia="ru-RU" w:bidi="ru-RU"/>
          <w:w w:val="100"/>
          <w:spacing w:val="0"/>
          <w:color w:val="000000"/>
          <w:position w:val="0"/>
        </w:rPr>
        <w:t xml:space="preserve">звукоизоляция, </w:t>
      </w:r>
      <w:r>
        <w:rPr>
          <w:rStyle w:val="CharStyle31"/>
        </w:rPr>
        <w:t>дБ, 25...</w:t>
      </w:r>
      <w:r>
        <w:rPr>
          <w:lang w:val="ru-RU" w:eastAsia="ru-RU" w:bidi="ru-RU"/>
          <w:w w:val="100"/>
          <w:spacing w:val="0"/>
          <w:color w:val="000000"/>
          <w:position w:val="0"/>
        </w:rPr>
        <w:t xml:space="preserve">Профиль ПВХ, оконные блоки ПВХ, стеклопакеты, устройства открывания и закрывания соответствуют требованиям согласно </w:t>
      </w:r>
      <w:r>
        <w:rPr>
          <w:rStyle w:val="CharStyle31"/>
        </w:rPr>
        <w:t xml:space="preserve">нормативным документам действующим на территории РФ, 30674-99, 24866- 99, </w:t>
      </w:r>
      <w:r>
        <w:rPr>
          <w:lang w:val="ru-RU" w:eastAsia="ru-RU" w:bidi="ru-RU"/>
          <w:w w:val="100"/>
          <w:spacing w:val="0"/>
          <w:color w:val="000000"/>
          <w:position w:val="0"/>
        </w:rPr>
        <w:t>согласно нормативным документам действующим на территории РФ.».</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В соответствии с п.1 ГОСТ </w:t>
      </w:r>
      <w:r>
        <w:rPr>
          <w:rStyle w:val="CharStyle31"/>
        </w:rPr>
        <w:t xml:space="preserve">24866-99 </w:t>
      </w:r>
      <w:r>
        <w:rPr>
          <w:lang w:val="ru-RU" w:eastAsia="ru-RU" w:bidi="ru-RU"/>
          <w:w w:val="100"/>
          <w:spacing w:val="0"/>
          <w:color w:val="000000"/>
          <w:position w:val="0"/>
        </w:rPr>
        <w:t>настоящий стандарт распространяется на стеклопакеты клееные строительного назначения (далее - стеклопакеты), предназначенные для остекления светопрозрачных конструкций: оконных и дверных блоков, перегородок, зенитных фонарей и др. Стандарт не распространяется на специальные виды стеклопакетов, применяемых в строительных конструкциях (пулестойкие, огнестойкие, с полимерными пленками в межстекольном пространстве, с криволинейными поверхностями и т.п.).Требования настоящего стандарта являются обязательными (кроме оговоренных в тексте как рекомендуемые или справочные).</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Согласно п.3.3. ГОСТ </w:t>
      </w:r>
      <w:r>
        <w:rPr>
          <w:rStyle w:val="CharStyle31"/>
        </w:rPr>
        <w:t xml:space="preserve">24866-99 </w:t>
      </w:r>
      <w:r>
        <w:rPr>
          <w:lang w:val="ru-RU" w:eastAsia="ru-RU" w:bidi="ru-RU"/>
          <w:w w:val="100"/>
          <w:spacing w:val="0"/>
          <w:color w:val="000000"/>
          <w:position w:val="0"/>
        </w:rPr>
        <w:t>стеклопакеты в зависимости от назначения подразделяют на виды:</w:t>
      </w:r>
    </w:p>
    <w:p>
      <w:pPr>
        <w:pStyle w:val="Style25"/>
        <w:numPr>
          <w:ilvl w:val="0"/>
          <w:numId w:val="3"/>
        </w:numPr>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 xml:space="preserve"> стеклопакеты общестроительного назначения;</w:t>
      </w:r>
    </w:p>
    <w:p>
      <w:pPr>
        <w:pStyle w:val="Style25"/>
        <w:numPr>
          <w:ilvl w:val="0"/>
          <w:numId w:val="3"/>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стеклопакеты строительного назначения со специальными свойствами: ударостойкие (Уд); энергосберегающие (Э); солнцезащитные (С); морозостойкие (М); шумозащитные (Ш).</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Пунктом </w:t>
      </w:r>
      <w:r>
        <w:rPr>
          <w:rStyle w:val="CharStyle31"/>
        </w:rPr>
        <w:t xml:space="preserve">4.1.7. ГОСТ 24866-99 установлено, что </w:t>
      </w:r>
      <w:r>
        <w:rPr>
          <w:lang w:val="ru-RU" w:eastAsia="ru-RU" w:bidi="ru-RU"/>
          <w:w w:val="100"/>
          <w:spacing w:val="0"/>
          <w:color w:val="000000"/>
          <w:position w:val="0"/>
        </w:rPr>
        <w:t xml:space="preserve">основные физические характеристики стеклопакетов должны соответствовать требованиям, указанным в таблице </w:t>
      </w:r>
      <w:r>
        <w:rPr>
          <w:rStyle w:val="CharStyle31"/>
        </w:rPr>
        <w:t>4.</w:t>
      </w:r>
    </w:p>
    <w:p>
      <w:pPr>
        <w:pStyle w:val="Style19"/>
        <w:widowControl w:val="0"/>
        <w:keepNext w:val="0"/>
        <w:keepLines w:val="0"/>
        <w:shd w:val="clear" w:color="auto" w:fill="auto"/>
        <w:bidi w:val="0"/>
        <w:jc w:val="right"/>
        <w:spacing w:before="0" w:after="258" w:line="210" w:lineRule="exact"/>
        <w:ind w:left="0" w:right="20" w:firstLine="0"/>
      </w:pPr>
      <w:r>
        <w:rPr>
          <w:lang w:val="ru-RU" w:eastAsia="ru-RU" w:bidi="ru-RU"/>
          <w:w w:val="100"/>
          <w:spacing w:val="0"/>
          <w:color w:val="000000"/>
          <w:position w:val="0"/>
        </w:rPr>
        <w:t>Таблица 4</w:t>
      </w:r>
    </w:p>
    <w:tbl>
      <w:tblPr>
        <w:tblOverlap w:val="never"/>
        <w:tblLayout w:type="fixed"/>
        <w:jc w:val="center"/>
      </w:tblPr>
      <w:tblGrid>
        <w:gridCol w:w="1343"/>
        <w:gridCol w:w="1584"/>
        <w:gridCol w:w="1303"/>
        <w:gridCol w:w="958"/>
        <w:gridCol w:w="839"/>
        <w:gridCol w:w="1094"/>
        <w:gridCol w:w="774"/>
      </w:tblGrid>
      <w:tr>
        <w:trPr>
          <w:trHeight w:val="2268" w:hRule="exact"/>
        </w:trPr>
        <w:tc>
          <w:tcPr>
            <w:shd w:val="clear" w:color="auto" w:fill="FFFFFF"/>
            <w:tcBorders>
              <w:left w:val="single" w:sz="4"/>
              <w:top w:val="single" w:sz="4"/>
            </w:tcBorders>
            <w:vAlign w:val="top"/>
          </w:tcPr>
          <w:p>
            <w:pPr>
              <w:pStyle w:val="Style25"/>
              <w:framePr w:w="7895" w:hSpace="590" w:wrap="notBeside" w:vAnchor="text" w:hAnchor="text" w:xAlign="center" w:y="1"/>
              <w:widowControl w:val="0"/>
              <w:keepNext w:val="0"/>
              <w:keepLines w:val="0"/>
              <w:shd w:val="clear" w:color="auto" w:fill="auto"/>
              <w:bidi w:val="0"/>
              <w:jc w:val="left"/>
              <w:spacing w:before="0" w:after="0" w:line="190" w:lineRule="exact"/>
              <w:ind w:left="40" w:right="0" w:firstLine="0"/>
            </w:pPr>
            <w:r>
              <w:rPr>
                <w:rStyle w:val="CharStyle36"/>
              </w:rPr>
              <w:t>1</w:t>
            </w:r>
          </w:p>
          <w:p>
            <w:pPr>
              <w:pStyle w:val="Style25"/>
              <w:framePr w:w="7895" w:hSpace="590" w:wrap="notBeside" w:vAnchor="text" w:hAnchor="text" w:xAlign="center" w:y="1"/>
              <w:widowControl w:val="0"/>
              <w:keepNext w:val="0"/>
              <w:keepLines w:val="0"/>
              <w:shd w:val="clear" w:color="auto" w:fill="auto"/>
              <w:bidi w:val="0"/>
              <w:jc w:val="left"/>
              <w:spacing w:before="0" w:after="0" w:line="227" w:lineRule="exact"/>
              <w:ind w:left="40" w:right="0" w:firstLine="0"/>
            </w:pPr>
            <w:r>
              <w:rPr>
                <w:rStyle w:val="CharStyle36"/>
              </w:rPr>
              <w:t>| Вид</w:t>
            </w:r>
          </w:p>
          <w:p>
            <w:pPr>
              <w:pStyle w:val="Style25"/>
              <w:framePr w:w="7895" w:hSpace="590" w:wrap="notBeside" w:vAnchor="text" w:hAnchor="text" w:xAlign="center" w:y="1"/>
              <w:widowControl w:val="0"/>
              <w:keepNext w:val="0"/>
              <w:keepLines w:val="0"/>
              <w:shd w:val="clear" w:color="auto" w:fill="auto"/>
              <w:bidi w:val="0"/>
              <w:jc w:val="left"/>
              <w:spacing w:before="0" w:after="0" w:line="227" w:lineRule="exact"/>
              <w:ind w:left="40" w:right="0" w:firstLine="0"/>
            </w:pPr>
            <w:r>
              <w:rPr>
                <w:rStyle w:val="CharStyle36"/>
              </w:rPr>
              <w:t>|стекло- |пакета</w:t>
            </w:r>
          </w:p>
        </w:tc>
        <w:tc>
          <w:tcPr>
            <w:shd w:val="clear" w:color="auto" w:fill="FFFFFF"/>
            <w:tcBorders>
              <w:left w:val="single" w:sz="4"/>
              <w:top w:val="single" w:sz="4"/>
            </w:tcBorders>
            <w:vAlign w:val="top"/>
          </w:tcPr>
          <w:p>
            <w:pPr>
              <w:pStyle w:val="Style25"/>
              <w:framePr w:w="7895" w:hSpace="590" w:wrap="notBeside" w:vAnchor="text" w:hAnchor="text" w:xAlign="center" w:y="1"/>
              <w:widowControl w:val="0"/>
              <w:keepNext w:val="0"/>
              <w:keepLines w:val="0"/>
              <w:shd w:val="clear" w:color="auto" w:fill="auto"/>
              <w:bidi w:val="0"/>
              <w:jc w:val="center"/>
              <w:spacing w:before="0" w:after="60" w:line="190" w:lineRule="exact"/>
              <w:ind w:left="0" w:right="0" w:firstLine="0"/>
            </w:pPr>
            <w:r>
              <w:rPr>
                <w:rStyle w:val="CharStyle36"/>
              </w:rPr>
              <w:t>Тип</w:t>
            </w:r>
          </w:p>
          <w:p>
            <w:pPr>
              <w:pStyle w:val="Style25"/>
              <w:framePr w:w="7895" w:hSpace="590" w:wrap="notBeside" w:vAnchor="text" w:hAnchor="text" w:xAlign="center" w:y="1"/>
              <w:widowControl w:val="0"/>
              <w:keepNext w:val="0"/>
              <w:keepLines w:val="0"/>
              <w:shd w:val="clear" w:color="auto" w:fill="auto"/>
              <w:bidi w:val="0"/>
              <w:jc w:val="center"/>
              <w:spacing w:before="60" w:after="0" w:line="190" w:lineRule="exact"/>
              <w:ind w:left="0" w:right="0" w:firstLine="0"/>
            </w:pPr>
            <w:r>
              <w:rPr>
                <w:rStyle w:val="CharStyle36"/>
              </w:rPr>
              <w:t>стеклопакета</w:t>
            </w:r>
          </w:p>
        </w:tc>
        <w:tc>
          <w:tcPr>
            <w:shd w:val="clear" w:color="auto" w:fill="FFFFFF"/>
            <w:tcBorders>
              <w:left w:val="single" w:sz="4"/>
              <w:top w:val="single" w:sz="4"/>
            </w:tcBorders>
            <w:vAlign w:val="top"/>
          </w:tcPr>
          <w:p>
            <w:pPr>
              <w:pStyle w:val="Style25"/>
              <w:framePr w:w="7895" w:hSpace="590" w:wrap="notBeside" w:vAnchor="text" w:hAnchor="text" w:xAlign="center" w:y="1"/>
              <w:widowControl w:val="0"/>
              <w:keepNext w:val="0"/>
              <w:keepLines w:val="0"/>
              <w:shd w:val="clear" w:color="auto" w:fill="auto"/>
              <w:bidi w:val="0"/>
              <w:jc w:val="left"/>
              <w:spacing w:before="0" w:after="0" w:line="223" w:lineRule="exact"/>
              <w:ind w:left="60" w:right="0" w:firstLine="0"/>
            </w:pPr>
            <w:r>
              <w:rPr>
                <w:rStyle w:val="CharStyle36"/>
              </w:rPr>
              <w:t>Сопротив</w:t>
              <w:softHyphen/>
              <w:t>ление тепло</w:t>
              <w:softHyphen/>
              <w:t>передаче, не менее м2 х °С/Вт</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left"/>
              <w:spacing w:before="0" w:after="0" w:line="223" w:lineRule="exact"/>
              <w:ind w:left="80" w:right="0" w:firstLine="0"/>
            </w:pPr>
            <w:r>
              <w:rPr>
                <w:rStyle w:val="CharStyle36"/>
              </w:rPr>
              <w:t>Коэффи</w:t>
              <w:softHyphen/>
              <w:t>циент направ</w:t>
              <w:softHyphen/>
              <w:t>ленного пропус</w:t>
              <w:softHyphen/>
              <w:t>кания света, не ме</w:t>
              <w:softHyphen/>
              <w:t>нее, %</w:t>
            </w:r>
          </w:p>
        </w:tc>
        <w:tc>
          <w:tcPr>
            <w:shd w:val="clear" w:color="auto" w:fill="FFFFFF"/>
            <w:tcBorders>
              <w:left w:val="single" w:sz="4"/>
              <w:top w:val="single" w:sz="4"/>
            </w:tcBorders>
            <w:vAlign w:val="top"/>
          </w:tcPr>
          <w:p>
            <w:pPr>
              <w:pStyle w:val="Style25"/>
              <w:framePr w:w="7895" w:hSpace="590" w:wrap="notBeside" w:vAnchor="text" w:hAnchor="text" w:xAlign="center" w:y="1"/>
              <w:widowControl w:val="0"/>
              <w:keepNext w:val="0"/>
              <w:keepLines w:val="0"/>
              <w:shd w:val="clear" w:color="auto" w:fill="auto"/>
              <w:bidi w:val="0"/>
              <w:jc w:val="center"/>
              <w:spacing w:before="0" w:after="0" w:line="223" w:lineRule="exact"/>
              <w:ind w:left="0" w:right="0" w:firstLine="0"/>
            </w:pPr>
            <w:r>
              <w:rPr>
                <w:rStyle w:val="CharStyle36"/>
              </w:rPr>
              <w:t>Звуко</w:t>
              <w:softHyphen/>
            </w:r>
          </w:p>
          <w:p>
            <w:pPr>
              <w:pStyle w:val="Style25"/>
              <w:framePr w:w="7895" w:hSpace="590" w:wrap="notBeside" w:vAnchor="text" w:hAnchor="text" w:xAlign="center" w:y="1"/>
              <w:widowControl w:val="0"/>
              <w:keepNext w:val="0"/>
              <w:keepLines w:val="0"/>
              <w:shd w:val="clear" w:color="auto" w:fill="auto"/>
              <w:bidi w:val="0"/>
              <w:jc w:val="center"/>
              <w:spacing w:before="0" w:after="0" w:line="223" w:lineRule="exact"/>
              <w:ind w:left="0" w:right="0" w:firstLine="0"/>
            </w:pPr>
            <w:r>
              <w:rPr>
                <w:rStyle w:val="CharStyle36"/>
              </w:rPr>
              <w:t>изоля</w:t>
              <w:softHyphen/>
            </w:r>
          </w:p>
          <w:p>
            <w:pPr>
              <w:pStyle w:val="Style25"/>
              <w:framePr w:w="7895" w:hSpace="590" w:wrap="notBeside" w:vAnchor="text" w:hAnchor="text" w:xAlign="center" w:y="1"/>
              <w:widowControl w:val="0"/>
              <w:keepNext w:val="0"/>
              <w:keepLines w:val="0"/>
              <w:shd w:val="clear" w:color="auto" w:fill="auto"/>
              <w:bidi w:val="0"/>
              <w:jc w:val="left"/>
              <w:spacing w:before="0" w:after="0" w:line="223" w:lineRule="exact"/>
              <w:ind w:left="80" w:right="0" w:firstLine="0"/>
            </w:pPr>
            <w:r>
              <w:rPr>
                <w:rStyle w:val="CharStyle36"/>
              </w:rPr>
              <w:t>ция,</w:t>
            </w:r>
          </w:p>
          <w:p>
            <w:pPr>
              <w:pStyle w:val="Style25"/>
              <w:framePr w:w="7895" w:hSpace="590" w:wrap="notBeside" w:vAnchor="text" w:hAnchor="text" w:xAlign="center" w:y="1"/>
              <w:widowControl w:val="0"/>
              <w:keepNext w:val="0"/>
              <w:keepLines w:val="0"/>
              <w:shd w:val="clear" w:color="auto" w:fill="auto"/>
              <w:bidi w:val="0"/>
              <w:jc w:val="left"/>
              <w:spacing w:before="0" w:after="0" w:line="223" w:lineRule="exact"/>
              <w:ind w:left="80" w:right="0" w:firstLine="0"/>
            </w:pPr>
            <w:r>
              <w:rPr>
                <w:rStyle w:val="CharStyle36"/>
              </w:rPr>
              <w:t>не</w:t>
            </w:r>
          </w:p>
          <w:p>
            <w:pPr>
              <w:pStyle w:val="Style25"/>
              <w:framePr w:w="7895" w:hSpace="590" w:wrap="notBeside" w:vAnchor="text" w:hAnchor="text" w:xAlign="center" w:y="1"/>
              <w:widowControl w:val="0"/>
              <w:keepNext w:val="0"/>
              <w:keepLines w:val="0"/>
              <w:shd w:val="clear" w:color="auto" w:fill="auto"/>
              <w:bidi w:val="0"/>
              <w:jc w:val="center"/>
              <w:spacing w:before="0" w:after="0" w:line="223" w:lineRule="exact"/>
              <w:ind w:left="0" w:right="0" w:firstLine="0"/>
            </w:pPr>
            <w:r>
              <w:rPr>
                <w:rStyle w:val="CharStyle36"/>
              </w:rPr>
              <w:t>менее,</w:t>
            </w:r>
          </w:p>
          <w:p>
            <w:pPr>
              <w:pStyle w:val="Style25"/>
              <w:framePr w:w="7895" w:hSpace="590" w:wrap="notBeside" w:vAnchor="text" w:hAnchor="text" w:xAlign="center" w:y="1"/>
              <w:widowControl w:val="0"/>
              <w:keepNext w:val="0"/>
              <w:keepLines w:val="0"/>
              <w:shd w:val="clear" w:color="auto" w:fill="auto"/>
              <w:bidi w:val="0"/>
              <w:jc w:val="left"/>
              <w:spacing w:before="0" w:after="0" w:line="223" w:lineRule="exact"/>
              <w:ind w:left="80" w:right="0" w:firstLine="0"/>
            </w:pPr>
            <w:r>
              <w:rPr>
                <w:rStyle w:val="CharStyle36"/>
              </w:rPr>
              <w:t>ДБ</w:t>
            </w:r>
          </w:p>
        </w:tc>
        <w:tc>
          <w:tcPr>
            <w:shd w:val="clear" w:color="auto" w:fill="FFFFFF"/>
            <w:tcBorders>
              <w:left w:val="single" w:sz="4"/>
              <w:top w:val="single" w:sz="4"/>
            </w:tcBorders>
            <w:vAlign w:val="top"/>
          </w:tcPr>
          <w:p>
            <w:pPr>
              <w:pStyle w:val="Style25"/>
              <w:framePr w:w="7895" w:hSpace="590" w:wrap="notBeside" w:vAnchor="text" w:hAnchor="text" w:xAlign="center" w:y="1"/>
              <w:widowControl w:val="0"/>
              <w:keepNext w:val="0"/>
              <w:keepLines w:val="0"/>
              <w:shd w:val="clear" w:color="auto" w:fill="auto"/>
              <w:bidi w:val="0"/>
              <w:jc w:val="left"/>
              <w:spacing w:before="0" w:after="0" w:line="227" w:lineRule="exact"/>
              <w:ind w:left="80" w:right="0" w:firstLine="120"/>
            </w:pPr>
            <w:r>
              <w:rPr>
                <w:rStyle w:val="CharStyle36"/>
              </w:rPr>
              <w:t>Точка росы не выше, °С</w:t>
            </w:r>
          </w:p>
        </w:tc>
        <w:tc>
          <w:tcPr>
            <w:shd w:val="clear" w:color="auto" w:fill="FFFFFF"/>
            <w:tcBorders>
              <w:left w:val="single" w:sz="4"/>
              <w:right w:val="single" w:sz="4"/>
              <w:top w:val="single" w:sz="4"/>
            </w:tcBorders>
            <w:vAlign w:val="top"/>
          </w:tcPr>
          <w:p>
            <w:pPr>
              <w:pStyle w:val="Style25"/>
              <w:framePr w:w="7895" w:hSpace="590" w:wrap="notBeside" w:vAnchor="text" w:hAnchor="text" w:xAlign="center" w:y="1"/>
              <w:widowControl w:val="0"/>
              <w:keepNext w:val="0"/>
              <w:keepLines w:val="0"/>
              <w:shd w:val="clear" w:color="auto" w:fill="auto"/>
              <w:bidi w:val="0"/>
              <w:jc w:val="right"/>
              <w:spacing w:before="0" w:after="0" w:line="190" w:lineRule="exact"/>
              <w:ind w:left="0" w:right="40" w:firstLine="0"/>
            </w:pPr>
            <w:r>
              <w:rPr>
                <w:rStyle w:val="CharStyle36"/>
              </w:rPr>
              <w:t>1</w:t>
            </w:r>
          </w:p>
          <w:p>
            <w:pPr>
              <w:pStyle w:val="Style25"/>
              <w:framePr w:w="7895" w:hSpace="590" w:wrap="notBeside" w:vAnchor="text" w:hAnchor="text" w:xAlign="center" w:y="1"/>
              <w:widowControl w:val="0"/>
              <w:keepNext w:val="0"/>
              <w:keepLines w:val="0"/>
              <w:shd w:val="clear" w:color="auto" w:fill="auto"/>
              <w:bidi w:val="0"/>
              <w:jc w:val="left"/>
              <w:spacing w:before="0" w:after="0" w:line="227" w:lineRule="exact"/>
              <w:ind w:left="80" w:right="0" w:firstLine="0"/>
            </w:pPr>
            <w:r>
              <w:rPr>
                <w:rStyle w:val="CharStyle36"/>
              </w:rPr>
              <w:t>Класс| защи-| ты, не</w:t>
            </w:r>
          </w:p>
          <w:p>
            <w:pPr>
              <w:pStyle w:val="Style25"/>
              <w:framePr w:w="7895" w:hSpace="590" w:wrap="notBeside" w:vAnchor="text" w:hAnchor="text" w:xAlign="center" w:y="1"/>
              <w:widowControl w:val="0"/>
              <w:keepNext w:val="0"/>
              <w:keepLines w:val="0"/>
              <w:shd w:val="clear" w:color="auto" w:fill="auto"/>
              <w:bidi w:val="0"/>
              <w:jc w:val="right"/>
              <w:spacing w:before="0" w:after="0" w:line="227" w:lineRule="exact"/>
              <w:ind w:left="0" w:right="40" w:firstLine="0"/>
            </w:pPr>
            <w:r>
              <w:rPr>
                <w:rStyle w:val="CharStyle36"/>
              </w:rPr>
              <w:t>менее|</w:t>
            </w:r>
          </w:p>
        </w:tc>
      </w:tr>
      <w:tr>
        <w:trPr>
          <w:trHeight w:val="454" w:hRule="exact"/>
        </w:trPr>
        <w:tc>
          <w:tcPr>
            <w:shd w:val="clear" w:color="auto" w:fill="FFFFFF"/>
            <w:vMerge w:val="restart"/>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left"/>
              <w:spacing w:before="0" w:after="0" w:line="223" w:lineRule="exact"/>
              <w:ind w:left="40" w:right="0" w:firstLine="0"/>
            </w:pPr>
            <w:r>
              <w:rPr>
                <w:rStyle w:val="CharStyle36"/>
              </w:rPr>
              <w:t>|Общестрои- |тельного |назначения</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Однокамерный</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0, 32</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80</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25</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6"/>
              </w:rPr>
              <w:t>Минус 4 5</w:t>
            </w:r>
          </w:p>
        </w:tc>
        <w:tc>
          <w:tcPr>
            <w:shd w:val="clear" w:color="auto" w:fill="FFFFFF"/>
            <w:tcBorders>
              <w:left w:val="single" w:sz="4"/>
              <w:righ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w:t>
            </w:r>
          </w:p>
        </w:tc>
      </w:tr>
      <w:tr>
        <w:trPr>
          <w:trHeight w:val="450" w:hRule="exact"/>
        </w:trPr>
        <w:tc>
          <w:tcPr>
            <w:shd w:val="clear" w:color="auto" w:fill="FFFFFF"/>
            <w:vMerge/>
            <w:tcBorders>
              <w:left w:val="single" w:sz="4"/>
            </w:tcBorders>
            <w:vAlign w:val="center"/>
          </w:tcPr>
          <w:p>
            <w:pPr>
              <w:framePr w:w="7895" w:hSpace="590" w:wrap="notBeside" w:vAnchor="text" w:hAnchor="text" w:xAlign="center" w:y="1"/>
            </w:pP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Двухкамерный</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0, 44</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72</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27</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left"/>
              <w:spacing w:before="0" w:after="0" w:line="190" w:lineRule="exact"/>
              <w:ind w:left="80" w:right="0" w:firstLine="120"/>
            </w:pPr>
            <w:r>
              <w:rPr>
                <w:rStyle w:val="CharStyle36"/>
              </w:rPr>
              <w:t>То же</w:t>
            </w:r>
          </w:p>
        </w:tc>
        <w:tc>
          <w:tcPr>
            <w:shd w:val="clear" w:color="auto" w:fill="FFFFFF"/>
            <w:tcBorders>
              <w:left w:val="single" w:sz="4"/>
              <w:righ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right"/>
              <w:spacing w:before="0" w:after="0" w:line="190" w:lineRule="exact"/>
              <w:ind w:left="0" w:right="40" w:firstLine="0"/>
            </w:pPr>
            <w:r>
              <w:rPr>
                <w:rStyle w:val="CharStyle36"/>
              </w:rPr>
              <w:t>!</w:t>
            </w:r>
          </w:p>
        </w:tc>
      </w:tr>
      <w:tr>
        <w:trPr>
          <w:trHeight w:val="457" w:hRule="exact"/>
        </w:trPr>
        <w:tc>
          <w:tcPr>
            <w:shd w:val="clear" w:color="auto" w:fill="FFFFFF"/>
            <w:vMerge w:val="restart"/>
            <w:tcBorders>
              <w:left w:val="single" w:sz="4"/>
              <w:top w:val="single" w:sz="4"/>
            </w:tcBorders>
            <w:vAlign w:val="top"/>
          </w:tcPr>
          <w:p>
            <w:pPr>
              <w:pStyle w:val="Style25"/>
              <w:framePr w:w="7895" w:hSpace="590" w:wrap="notBeside" w:vAnchor="text" w:hAnchor="text" w:xAlign="center" w:y="1"/>
              <w:widowControl w:val="0"/>
              <w:keepNext w:val="0"/>
              <w:keepLines w:val="0"/>
              <w:shd w:val="clear" w:color="auto" w:fill="auto"/>
              <w:bidi w:val="0"/>
              <w:jc w:val="left"/>
              <w:spacing w:before="0" w:after="0" w:line="227" w:lineRule="exact"/>
              <w:ind w:left="40" w:right="0" w:firstLine="0"/>
            </w:pPr>
            <w:r>
              <w:rPr>
                <w:rStyle w:val="CharStyle36"/>
              </w:rPr>
              <w:t>|Ударостой- | кий</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Однокамерный</w:t>
            </w:r>
          </w:p>
        </w:tc>
        <w:tc>
          <w:tcPr>
            <w:shd w:val="clear" w:color="auto" w:fill="FFFFFF"/>
            <w:textDirection w:val="tbRl"/>
            <w:tcBorders>
              <w:left w:val="single" w:sz="4"/>
              <w:top w:val="single" w:sz="4"/>
            </w:tcBorders>
            <w:vAlign w:val="top"/>
          </w:tcPr>
          <w:p>
            <w:pPr>
              <w:pStyle w:val="Style25"/>
              <w:framePr w:w="7895" w:hSpace="590" w:wrap="notBeside" w:vAnchor="text" w:hAnchor="text" w:xAlign="center" w:y="1"/>
              <w:widowControl w:val="0"/>
              <w:keepNext w:val="0"/>
              <w:keepLines w:val="0"/>
              <w:shd w:val="clear" w:color="auto" w:fill="auto"/>
              <w:bidi w:val="0"/>
              <w:jc w:val="left"/>
              <w:spacing w:before="0" w:after="0" w:line="190" w:lineRule="exact"/>
              <w:ind w:left="160" w:right="0" w:firstLine="0"/>
            </w:pPr>
            <w:r>
              <w:rPr>
                <w:rStyle w:val="CharStyle36"/>
              </w:rPr>
              <w:t>&lt;4</w:t>
            </w:r>
          </w:p>
          <w:p>
            <w:pPr>
              <w:pStyle w:val="Style25"/>
              <w:framePr w:w="7895" w:hSpace="590" w:wrap="notBeside" w:vAnchor="text" w:hAnchor="text" w:xAlign="center" w:y="1"/>
              <w:widowControl w:val="0"/>
              <w:keepNext w:val="0"/>
              <w:keepLines w:val="0"/>
              <w:shd w:val="clear" w:color="auto" w:fill="auto"/>
              <w:bidi w:val="0"/>
              <w:jc w:val="left"/>
              <w:spacing w:before="0" w:after="0" w:line="190" w:lineRule="exact"/>
              <w:ind w:left="160" w:right="0" w:firstLine="0"/>
            </w:pPr>
            <w:r>
              <w:rPr>
                <w:rStyle w:val="CharStyle36"/>
              </w:rPr>
              <w:t>го</w:t>
            </w:r>
          </w:p>
          <w:p>
            <w:pPr>
              <w:pStyle w:val="Style25"/>
              <w:framePr w:w="7895" w:hSpace="590" w:wrap="notBeside" w:vAnchor="text" w:hAnchor="text" w:xAlign="center" w:y="1"/>
              <w:widowControl w:val="0"/>
              <w:keepNext w:val="0"/>
              <w:keepLines w:val="0"/>
              <w:shd w:val="clear" w:color="auto" w:fill="auto"/>
              <w:bidi w:val="0"/>
              <w:jc w:val="left"/>
              <w:spacing w:before="0" w:after="0" w:line="190" w:lineRule="exact"/>
              <w:ind w:left="160" w:right="0" w:firstLine="0"/>
            </w:pPr>
            <w:r>
              <w:rPr>
                <w:rStyle w:val="CharStyle36"/>
              </w:rPr>
              <w:t>о</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74</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26</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10" w:lineRule="exact"/>
              <w:ind w:left="0" w:right="0" w:firstLine="0"/>
            </w:pPr>
            <w:r>
              <w:rPr>
                <w:rStyle w:val="CharStyle37"/>
              </w:rPr>
              <w:t>П</w:t>
            </w:r>
          </w:p>
        </w:tc>
        <w:tc>
          <w:tcPr>
            <w:shd w:val="clear" w:color="auto" w:fill="FFFFFF"/>
            <w:tcBorders>
              <w:left w:val="single" w:sz="4"/>
              <w:righ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left"/>
              <w:spacing w:before="0" w:after="0" w:line="190" w:lineRule="exact"/>
              <w:ind w:left="200" w:right="0" w:firstLine="0"/>
            </w:pPr>
            <w:r>
              <w:rPr>
                <w:rStyle w:val="CharStyle36"/>
              </w:rPr>
              <w:t>А1</w:t>
            </w:r>
          </w:p>
        </w:tc>
      </w:tr>
      <w:tr>
        <w:trPr>
          <w:trHeight w:val="461" w:hRule="exact"/>
        </w:trPr>
        <w:tc>
          <w:tcPr>
            <w:shd w:val="clear" w:color="auto" w:fill="FFFFFF"/>
            <w:vMerge/>
            <w:tcBorders>
              <w:left w:val="single" w:sz="4"/>
            </w:tcBorders>
            <w:vAlign w:val="top"/>
          </w:tcPr>
          <w:p>
            <w:pPr>
              <w:framePr w:w="7895" w:hSpace="590" w:wrap="notBeside" w:vAnchor="text" w:hAnchor="text" w:xAlign="center" w:y="1"/>
            </w:pP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Двухкамерный</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0,44</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67</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28</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80" w:lineRule="exact"/>
              <w:ind w:left="0" w:right="0" w:firstLine="0"/>
            </w:pPr>
            <w:r>
              <w:rPr>
                <w:rStyle w:val="CharStyle38"/>
              </w:rPr>
              <w:t>11</w:t>
            </w:r>
          </w:p>
        </w:tc>
        <w:tc>
          <w:tcPr>
            <w:shd w:val="clear" w:color="auto" w:fill="FFFFFF"/>
            <w:tcBorders>
              <w:left w:val="single" w:sz="4"/>
              <w:righ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left"/>
              <w:spacing w:before="0" w:after="0" w:line="200" w:lineRule="exact"/>
              <w:ind w:left="200" w:right="0" w:firstLine="0"/>
            </w:pPr>
            <w:r>
              <w:rPr>
                <w:rStyle w:val="CharStyle39"/>
                <w:vertAlign w:val="superscript"/>
              </w:rPr>
              <w:t>А1</w:t>
            </w:r>
          </w:p>
        </w:tc>
      </w:tr>
      <w:tr>
        <w:trPr>
          <w:trHeight w:val="457" w:hRule="exact"/>
        </w:trPr>
        <w:tc>
          <w:tcPr>
            <w:shd w:val="clear" w:color="auto" w:fill="FFFFFF"/>
            <w:vMerge w:val="restart"/>
            <w:tcBorders>
              <w:left w:val="single" w:sz="4"/>
              <w:top w:val="single" w:sz="4"/>
            </w:tcBorders>
            <w:vAlign w:val="top"/>
          </w:tcPr>
          <w:p>
            <w:pPr>
              <w:pStyle w:val="Style25"/>
              <w:framePr w:w="7895" w:hSpace="590" w:wrap="notBeside" w:vAnchor="text" w:hAnchor="text" w:xAlign="center" w:y="1"/>
              <w:widowControl w:val="0"/>
              <w:keepNext w:val="0"/>
              <w:keepLines w:val="0"/>
              <w:shd w:val="clear" w:color="auto" w:fill="auto"/>
              <w:bidi w:val="0"/>
              <w:jc w:val="left"/>
              <w:spacing w:before="0" w:after="0" w:line="223" w:lineRule="exact"/>
              <w:ind w:left="40" w:right="0" w:firstLine="0"/>
            </w:pPr>
            <w:r>
              <w:rPr>
                <w:rStyle w:val="CharStyle36"/>
              </w:rPr>
              <w:t>|Солнце- |защитный</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Однокамерный</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0, 32</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25</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80" w:lineRule="exact"/>
              <w:ind w:left="0" w:right="0" w:firstLine="0"/>
            </w:pPr>
            <w:r>
              <w:rPr>
                <w:rStyle w:val="CharStyle38"/>
              </w:rPr>
              <w:t>11</w:t>
            </w:r>
          </w:p>
        </w:tc>
        <w:tc>
          <w:tcPr>
            <w:shd w:val="clear" w:color="auto" w:fill="FFFFFF"/>
            <w:tcBorders>
              <w:left w:val="single" w:sz="4"/>
              <w:righ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w:t>
            </w:r>
          </w:p>
        </w:tc>
      </w:tr>
      <w:tr>
        <w:trPr>
          <w:trHeight w:val="450" w:hRule="exact"/>
        </w:trPr>
        <w:tc>
          <w:tcPr>
            <w:shd w:val="clear" w:color="auto" w:fill="FFFFFF"/>
            <w:vMerge/>
            <w:tcBorders>
              <w:left w:val="single" w:sz="4"/>
            </w:tcBorders>
            <w:vAlign w:val="top"/>
          </w:tcPr>
          <w:p>
            <w:pPr>
              <w:framePr w:w="7895" w:hSpace="590" w:wrap="notBeside" w:vAnchor="text" w:hAnchor="text" w:xAlign="center" w:y="1"/>
            </w:pP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Двухкамерный</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0, 44</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27</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80" w:lineRule="exact"/>
              <w:ind w:left="0" w:right="0" w:firstLine="0"/>
            </w:pPr>
            <w:r>
              <w:rPr>
                <w:rStyle w:val="CharStyle38"/>
              </w:rPr>
              <w:t>11</w:t>
            </w:r>
          </w:p>
        </w:tc>
        <w:tc>
          <w:tcPr>
            <w:shd w:val="clear" w:color="auto" w:fill="FFFFFF"/>
            <w:tcBorders>
              <w:left w:val="single" w:sz="4"/>
              <w:righ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w:t>
            </w:r>
          </w:p>
        </w:tc>
      </w:tr>
      <w:tr>
        <w:trPr>
          <w:trHeight w:val="446" w:hRule="exact"/>
        </w:trPr>
        <w:tc>
          <w:tcPr>
            <w:shd w:val="clear" w:color="auto" w:fill="FFFFFF"/>
            <w:vMerge w:val="restart"/>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left"/>
              <w:spacing w:before="0" w:after="0" w:line="223" w:lineRule="exact"/>
              <w:ind w:left="40" w:right="0" w:firstLine="0"/>
            </w:pPr>
            <w:r>
              <w:rPr>
                <w:rStyle w:val="CharStyle36"/>
              </w:rPr>
              <w:t>|Энерго- |сберега- | ющий</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Однокамерный</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0, 58</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75</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26</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80" w:lineRule="exact"/>
              <w:ind w:left="0" w:right="0" w:firstLine="0"/>
            </w:pPr>
            <w:r>
              <w:rPr>
                <w:rStyle w:val="CharStyle38"/>
              </w:rPr>
              <w:t>11</w:t>
            </w:r>
          </w:p>
        </w:tc>
        <w:tc>
          <w:tcPr>
            <w:shd w:val="clear" w:color="auto" w:fill="FFFFFF"/>
            <w:tcBorders>
              <w:left w:val="single" w:sz="4"/>
              <w:righ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w:t>
            </w:r>
          </w:p>
        </w:tc>
      </w:tr>
      <w:tr>
        <w:trPr>
          <w:trHeight w:val="457" w:hRule="exact"/>
        </w:trPr>
        <w:tc>
          <w:tcPr>
            <w:shd w:val="clear" w:color="auto" w:fill="FFFFFF"/>
            <w:vMerge/>
            <w:tcBorders>
              <w:left w:val="single" w:sz="4"/>
            </w:tcBorders>
            <w:vAlign w:val="center"/>
          </w:tcPr>
          <w:p>
            <w:pPr>
              <w:framePr w:w="7895" w:hSpace="590" w:wrap="notBeside" w:vAnchor="text" w:hAnchor="text" w:xAlign="center" w:y="1"/>
            </w:pP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Двухкамерный</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0,72</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65</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28</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80" w:lineRule="exact"/>
              <w:ind w:left="0" w:right="0" w:firstLine="0"/>
            </w:pPr>
            <w:r>
              <w:rPr>
                <w:rStyle w:val="CharStyle38"/>
              </w:rPr>
              <w:t>11</w:t>
            </w:r>
          </w:p>
        </w:tc>
        <w:tc>
          <w:tcPr>
            <w:shd w:val="clear" w:color="auto" w:fill="FFFFFF"/>
            <w:tcBorders>
              <w:left w:val="single" w:sz="4"/>
              <w:righ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w:t>
            </w:r>
          </w:p>
        </w:tc>
      </w:tr>
      <w:tr>
        <w:trPr>
          <w:trHeight w:val="454" w:hRule="exact"/>
        </w:trPr>
        <w:tc>
          <w:tcPr>
            <w:shd w:val="clear" w:color="auto" w:fill="FFFFFF"/>
            <w:vMerge w:val="restart"/>
            <w:tcBorders>
              <w:left w:val="single" w:sz="4"/>
              <w:top w:val="single" w:sz="4"/>
            </w:tcBorders>
            <w:vAlign w:val="top"/>
          </w:tcPr>
          <w:p>
            <w:pPr>
              <w:pStyle w:val="Style25"/>
              <w:framePr w:w="7895" w:hSpace="590" w:wrap="notBeside" w:vAnchor="text" w:hAnchor="text" w:xAlign="center" w:y="1"/>
              <w:widowControl w:val="0"/>
              <w:keepNext w:val="0"/>
              <w:keepLines w:val="0"/>
              <w:shd w:val="clear" w:color="auto" w:fill="auto"/>
              <w:bidi w:val="0"/>
              <w:jc w:val="left"/>
              <w:spacing w:before="0" w:after="0" w:line="227" w:lineRule="exact"/>
              <w:ind w:left="40" w:right="0" w:firstLine="0"/>
            </w:pPr>
            <w:r>
              <w:rPr>
                <w:rStyle w:val="CharStyle36"/>
              </w:rPr>
              <w:t>|Морозо- |стойкий</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Однокамерный</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0, 58</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75</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26</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6"/>
              </w:rPr>
              <w:t>Минус 55</w:t>
            </w:r>
          </w:p>
        </w:tc>
        <w:tc>
          <w:tcPr>
            <w:shd w:val="clear" w:color="auto" w:fill="FFFFFF"/>
            <w:tcBorders>
              <w:left w:val="single" w:sz="4"/>
              <w:righ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w:t>
            </w:r>
          </w:p>
        </w:tc>
      </w:tr>
      <w:tr>
        <w:trPr>
          <w:trHeight w:val="457" w:hRule="exact"/>
        </w:trPr>
        <w:tc>
          <w:tcPr>
            <w:shd w:val="clear" w:color="auto" w:fill="FFFFFF"/>
            <w:vMerge/>
            <w:tcBorders>
              <w:left w:val="single" w:sz="4"/>
            </w:tcBorders>
            <w:vAlign w:val="top"/>
          </w:tcPr>
          <w:p>
            <w:pPr>
              <w:framePr w:w="7895" w:hSpace="590" w:wrap="notBeside" w:vAnchor="text" w:hAnchor="text" w:xAlign="center" w:y="1"/>
            </w:pP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Двухкамерный</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0,72</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65</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28</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То же</w:t>
            </w:r>
          </w:p>
        </w:tc>
        <w:tc>
          <w:tcPr>
            <w:shd w:val="clear" w:color="auto" w:fill="FFFFFF"/>
            <w:tcBorders>
              <w:left w:val="single" w:sz="4"/>
              <w:righ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w:t>
            </w:r>
          </w:p>
        </w:tc>
      </w:tr>
      <w:tr>
        <w:trPr>
          <w:trHeight w:val="454" w:hRule="exact"/>
        </w:trPr>
        <w:tc>
          <w:tcPr>
            <w:shd w:val="clear" w:color="auto" w:fill="FFFFFF"/>
            <w:vMerge w:val="restart"/>
            <w:tcBorders>
              <w:left w:val="single" w:sz="4"/>
              <w:top w:val="single" w:sz="4"/>
            </w:tcBorders>
            <w:vAlign w:val="top"/>
          </w:tcPr>
          <w:p>
            <w:pPr>
              <w:pStyle w:val="Style25"/>
              <w:framePr w:w="7895" w:hSpace="590" w:wrap="notBeside" w:vAnchor="text" w:hAnchor="text" w:xAlign="center" w:y="1"/>
              <w:widowControl w:val="0"/>
              <w:keepNext w:val="0"/>
              <w:keepLines w:val="0"/>
              <w:shd w:val="clear" w:color="auto" w:fill="auto"/>
              <w:bidi w:val="0"/>
              <w:jc w:val="left"/>
              <w:spacing w:before="0" w:after="0" w:line="230" w:lineRule="exact"/>
              <w:ind w:left="40" w:right="0" w:firstLine="0"/>
            </w:pPr>
            <w:r>
              <w:rPr>
                <w:rStyle w:val="CharStyle36"/>
              </w:rPr>
              <w:t>|Шумозащит- | ный</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Однокамерный</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0, 32</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74</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34</w:t>
            </w:r>
          </w:p>
        </w:tc>
        <w:tc>
          <w:tcPr>
            <w:shd w:val="clear" w:color="auto" w:fill="FFFFFF"/>
            <w:tcBorders>
              <w:lef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6"/>
              </w:rPr>
              <w:t>Минус 4 5</w:t>
            </w:r>
          </w:p>
        </w:tc>
        <w:tc>
          <w:tcPr>
            <w:shd w:val="clear" w:color="auto" w:fill="FFFFFF"/>
            <w:tcBorders>
              <w:left w:val="single" w:sz="4"/>
              <w:right w:val="single" w:sz="4"/>
              <w:top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w:t>
            </w:r>
          </w:p>
        </w:tc>
      </w:tr>
      <w:tr>
        <w:trPr>
          <w:trHeight w:val="468" w:hRule="exact"/>
        </w:trPr>
        <w:tc>
          <w:tcPr>
            <w:shd w:val="clear" w:color="auto" w:fill="FFFFFF"/>
            <w:vMerge/>
            <w:tcBorders>
              <w:left w:val="single" w:sz="4"/>
              <w:bottom w:val="single" w:sz="4"/>
            </w:tcBorders>
            <w:vAlign w:val="top"/>
          </w:tcPr>
          <w:p>
            <w:pPr>
              <w:framePr w:w="7895" w:hSpace="590" w:wrap="notBeside" w:vAnchor="text" w:hAnchor="text" w:xAlign="center" w:y="1"/>
            </w:pPr>
          </w:p>
        </w:tc>
        <w:tc>
          <w:tcPr>
            <w:shd w:val="clear" w:color="auto" w:fill="FFFFFF"/>
            <w:tcBorders>
              <w:left w:val="single" w:sz="4"/>
              <w:top w:val="single" w:sz="4"/>
              <w:bottom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Двухкамерный</w:t>
            </w:r>
          </w:p>
        </w:tc>
        <w:tc>
          <w:tcPr>
            <w:shd w:val="clear" w:color="auto" w:fill="FFFFFF"/>
            <w:tcBorders>
              <w:left w:val="single" w:sz="4"/>
              <w:top w:val="single" w:sz="4"/>
              <w:bottom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0,44</w:t>
            </w:r>
          </w:p>
        </w:tc>
        <w:tc>
          <w:tcPr>
            <w:shd w:val="clear" w:color="auto" w:fill="FFFFFF"/>
            <w:tcBorders>
              <w:left w:val="single" w:sz="4"/>
              <w:top w:val="single" w:sz="4"/>
              <w:bottom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67</w:t>
            </w:r>
          </w:p>
        </w:tc>
        <w:tc>
          <w:tcPr>
            <w:shd w:val="clear" w:color="auto" w:fill="FFFFFF"/>
            <w:tcBorders>
              <w:left w:val="single" w:sz="4"/>
              <w:top w:val="single" w:sz="4"/>
              <w:bottom w:val="single" w:sz="4"/>
            </w:tcBorders>
            <w:vAlign w:val="center"/>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34</w:t>
            </w:r>
          </w:p>
        </w:tc>
        <w:tc>
          <w:tcPr>
            <w:shd w:val="clear" w:color="auto" w:fill="FFFFFF"/>
            <w:tcBorders>
              <w:left w:val="single" w:sz="4"/>
              <w:top w:val="single" w:sz="4"/>
              <w:bottom w:val="single" w:sz="4"/>
            </w:tcBorders>
            <w:vAlign w:val="bottom"/>
          </w:tcPr>
          <w:p>
            <w:pPr>
              <w:pStyle w:val="Style25"/>
              <w:framePr w:w="7895" w:hSpace="590" w:wrap="notBeside" w:vAnchor="text" w:hAnchor="text" w:xAlign="center" w:y="1"/>
              <w:widowControl w:val="0"/>
              <w:keepNext w:val="0"/>
              <w:keepLines w:val="0"/>
              <w:shd w:val="clear" w:color="auto" w:fill="auto"/>
              <w:bidi w:val="0"/>
              <w:jc w:val="center"/>
              <w:spacing w:before="0" w:after="0" w:line="190" w:lineRule="exact"/>
              <w:ind w:left="0" w:right="0" w:firstLine="0"/>
            </w:pPr>
            <w:r>
              <w:rPr>
                <w:rStyle w:val="CharStyle36"/>
              </w:rPr>
              <w:t>То же</w:t>
            </w:r>
          </w:p>
          <w:p>
            <w:pPr>
              <w:pStyle w:val="Style25"/>
              <w:framePr w:w="7895" w:hSpace="590" w:wrap="notBeside" w:vAnchor="text" w:hAnchor="text" w:xAlign="center" w:y="1"/>
              <w:widowControl w:val="0"/>
              <w:keepNext w:val="0"/>
              <w:keepLines w:val="0"/>
              <w:shd w:val="clear" w:color="auto" w:fill="auto"/>
              <w:bidi w:val="0"/>
              <w:jc w:val="left"/>
              <w:spacing w:before="0" w:after="0" w:line="110" w:lineRule="exact"/>
              <w:ind w:left="20" w:right="0" w:firstLine="0"/>
            </w:pPr>
            <w:r>
              <w:rPr>
                <w:rStyle w:val="CharStyle37"/>
              </w:rPr>
              <w:t>1</w:t>
            </w:r>
          </w:p>
        </w:tc>
        <w:tc>
          <w:tcPr>
            <w:shd w:val="clear" w:color="auto" w:fill="FFFFFF"/>
            <w:tcBorders>
              <w:left w:val="single" w:sz="4"/>
              <w:right w:val="single" w:sz="4"/>
              <w:top w:val="single" w:sz="4"/>
              <w:bottom w:val="single" w:sz="4"/>
            </w:tcBorders>
            <w:vAlign w:val="top"/>
          </w:tcPr>
          <w:p>
            <w:pPr>
              <w:framePr w:w="7895" w:hSpace="590" w:wrap="notBeside" w:vAnchor="text" w:hAnchor="text" w:xAlign="center" w:y="1"/>
              <w:widowControl w:val="0"/>
              <w:rPr>
                <w:sz w:val="10"/>
                <w:szCs w:val="10"/>
              </w:rPr>
            </w:pPr>
          </w:p>
        </w:tc>
      </w:tr>
    </w:tbl>
    <w:p>
      <w:pPr>
        <w:pStyle w:val="Style32"/>
        <w:framePr w:w="7895" w:hSpace="590" w:wrap="notBeside" w:vAnchor="text" w:hAnchor="text" w:xAlign="center" w:y="1"/>
        <w:widowControl w:val="0"/>
        <w:keepNext w:val="0"/>
        <w:keepLines w:val="0"/>
        <w:shd w:val="clear" w:color="auto" w:fill="auto"/>
        <w:bidi w:val="0"/>
        <w:spacing w:before="0" w:after="0" w:line="190" w:lineRule="exact"/>
        <w:ind w:left="0" w:right="0" w:firstLine="0"/>
      </w:pPr>
      <w:r>
        <w:rPr>
          <w:lang w:val="ru-RU" w:eastAsia="ru-RU" w:bidi="ru-RU"/>
          <w:rFonts w:ascii="Courier New" w:eastAsia="Courier New" w:hAnsi="Courier New" w:cs="Courier New"/>
          <w:w w:val="100"/>
          <w:spacing w:val="0"/>
          <w:color w:val="000000"/>
          <w:position w:val="0"/>
        </w:rPr>
        <w:t>Примечание. Для характеристики солнцезащитных стеклопакетов|</w:t>
      </w:r>
    </w:p>
    <w:p>
      <w:pPr>
        <w:pStyle w:val="Style32"/>
        <w:framePr w:w="7895" w:hSpace="590" w:wrap="notBeside" w:vAnchor="text" w:hAnchor="text" w:xAlign="center" w:y="1"/>
        <w:widowControl w:val="0"/>
        <w:keepNext w:val="0"/>
        <w:keepLines w:val="0"/>
        <w:shd w:val="clear" w:color="auto" w:fill="auto"/>
        <w:bidi w:val="0"/>
        <w:spacing w:before="0" w:after="0" w:line="190" w:lineRule="exact"/>
        <w:ind w:left="0" w:right="0" w:firstLine="0"/>
      </w:pPr>
      <w:r>
        <w:rPr>
          <w:lang w:val="ru-RU" w:eastAsia="ru-RU" w:bidi="ru-RU"/>
          <w:rFonts w:ascii="Courier New" w:eastAsia="Courier New" w:hAnsi="Courier New" w:cs="Courier New"/>
          <w:w w:val="100"/>
          <w:spacing w:val="0"/>
          <w:color w:val="000000"/>
          <w:position w:val="0"/>
        </w:rPr>
        <w:t>|применяют коэффициент общего пропускания солнечной энергии,|</w:t>
      </w:r>
    </w:p>
    <w:p>
      <w:pPr>
        <w:pStyle w:val="Style32"/>
        <w:framePr w:w="7895" w:hSpace="590" w:wrap="notBeside" w:vAnchor="text" w:hAnchor="text" w:xAlign="center" w:y="1"/>
        <w:tabs>
          <w:tab w:leader="none" w:pos="7823" w:val="right"/>
        </w:tabs>
        <w:widowControl w:val="0"/>
        <w:keepNext w:val="0"/>
        <w:keepLines w:val="0"/>
        <w:shd w:val="clear" w:color="auto" w:fill="auto"/>
        <w:bidi w:val="0"/>
        <w:jc w:val="both"/>
        <w:spacing w:before="0" w:after="0" w:line="180" w:lineRule="exact"/>
        <w:ind w:left="0" w:right="0" w:firstLine="0"/>
      </w:pPr>
      <w:r>
        <w:rPr>
          <w:lang w:val="ru-RU" w:eastAsia="ru-RU" w:bidi="ru-RU"/>
          <w:rFonts w:ascii="Courier New" w:eastAsia="Courier New" w:hAnsi="Courier New" w:cs="Courier New"/>
          <w:w w:val="100"/>
          <w:spacing w:val="0"/>
          <w:color w:val="000000"/>
          <w:position w:val="0"/>
        </w:rPr>
        <w:t>|который устанавливают в проектной документации.</w:t>
        <w:tab/>
      </w:r>
      <w:r>
        <w:rPr>
          <w:lang w:val="en-US" w:eastAsia="en-US" w:bidi="en-US"/>
          <w:rFonts w:ascii="Courier New" w:eastAsia="Courier New" w:hAnsi="Courier New" w:cs="Courier New"/>
          <w:w w:val="100"/>
          <w:spacing w:val="0"/>
          <w:color w:val="000000"/>
          <w:position w:val="0"/>
        </w:rPr>
        <w:t>j</w:t>
      </w:r>
    </w:p>
    <w:p>
      <w:pPr>
        <w:pStyle w:val="Style34"/>
        <w:framePr w:w="7895" w:hSpace="590" w:wrap="notBeside" w:vAnchor="text" w:hAnchor="text" w:xAlign="center" w:y="1"/>
        <w:widowControl w:val="0"/>
        <w:keepNext w:val="0"/>
        <w:keepLines w:val="0"/>
        <w:shd w:val="clear" w:color="auto" w:fill="auto"/>
        <w:bidi w:val="0"/>
        <w:spacing w:before="0" w:after="0"/>
        <w:ind w:left="0" w:right="0" w:firstLine="0"/>
      </w:pPr>
      <w:r>
        <w:rPr>
          <w:lang w:val="ru-RU" w:eastAsia="ru-RU" w:bidi="ru-RU"/>
          <w:w w:val="100"/>
          <w:spacing w:val="0"/>
          <w:color w:val="000000"/>
          <w:position w:val="0"/>
        </w:rPr>
        <w:t>I : I</w:t>
      </w:r>
    </w:p>
    <w:p>
      <w:pPr>
        <w:widowControl w:val="0"/>
        <w:rPr>
          <w:sz w:val="2"/>
          <w:szCs w:val="2"/>
        </w:rPr>
      </w:pPr>
    </w:p>
    <w:p>
      <w:pPr>
        <w:pStyle w:val="Style25"/>
        <w:widowControl w:val="0"/>
        <w:keepNext w:val="0"/>
        <w:keepLines w:val="0"/>
        <w:shd w:val="clear" w:color="auto" w:fill="auto"/>
        <w:bidi w:val="0"/>
        <w:jc w:val="both"/>
        <w:spacing w:before="246" w:after="0"/>
        <w:ind w:left="20" w:right="20" w:firstLine="560"/>
      </w:pPr>
      <w:r>
        <w:rPr>
          <w:lang w:val="ru-RU" w:eastAsia="ru-RU" w:bidi="ru-RU"/>
          <w:w w:val="100"/>
          <w:spacing w:val="0"/>
          <w:color w:val="000000"/>
          <w:position w:val="0"/>
        </w:rPr>
        <w:t>Оценив заявку Заявителя 1 комиссия Ростовского УФАС России приходит к выводу, что указанная заявка содержит значение показателей не соответствующие требованиям документации и ГОСТ 24866-99, по следующим показателям стеклопакета: толщина, вид, коэффициент направленного пропускания света, звукоизоляция.</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На основании изложенного, Комиссия Ростовского УФАС России приходит к выводу, что комиссия Заказчика правомерно в соответствии с ч. 4 ст. 67 Закона отказало в допуске к участию в аукционе заявке Заявителя 1 (порядковый номер 6). Довод жалобы необоснован.</w:t>
      </w:r>
    </w:p>
    <w:p>
      <w:pPr>
        <w:pStyle w:val="Style25"/>
        <w:numPr>
          <w:ilvl w:val="0"/>
          <w:numId w:val="1"/>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Заявитель 2 в своей жалобе указывает, что в извещении об осуществлении закупки, размещенном в единой информационной системе Заказчиком не указана информация о порядке внесения денежных средств в качестве обеспечения заявок на участие в закупке, информация о порядке предоставления обеспечения исполнения контракта, требования к такому обеспечению, а также информация о банковском сопровождении контракта.</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На основании п. 8 ч. 1 ст. 64 Закона документация об электронном аукционе наряду с информацией, указанной в извещении о проведении такого аукциона, должна содержать размер обеспечения исполнения контракта, срок и порядок предоставления указанного обеспечения, требования к обеспечению исполнения контракта.</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соответствии с ч.5 ст.63 Закона в извещении о проведении электронного аукциона должно содержать информацию указанную в ст. 42 Закона.</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соответствии с п. 7 ст. 42 Закона в извещении об осуществлении закупки должно содержаться размер и порядок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Согласно п. 8 ст. 42 Закона в извещении об осуществлении закупки должно содержаться, в частности 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ст. 96 названного Федерального закона), а также информация о банковском сопровождении контракта в соответствии со ст. 35 Закона.</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Комиссией Ростовского УФАС России установлено, что извещение о проведении электронного аукциона для закупки №0321100003617000024, размещенное в единой информационной системе в нарушение ч.5 ст.63, ч. 1 ст. 64 Закона не содержит порядок предоставления обеспечения заявок на участие в закупке, порядок предоставления обеспечения исполнения контракта, требования к такому обеспечению и информация о банковском сопровождении контракта.</w:t>
      </w:r>
    </w:p>
    <w:p>
      <w:pPr>
        <w:pStyle w:val="Style25"/>
        <w:widowControl w:val="0"/>
        <w:keepNext w:val="0"/>
        <w:keepLines w:val="0"/>
        <w:shd w:val="clear" w:color="auto" w:fill="auto"/>
        <w:bidi w:val="0"/>
        <w:jc w:val="both"/>
        <w:spacing w:before="0" w:after="60"/>
        <w:ind w:left="20" w:right="0" w:firstLine="560"/>
      </w:pPr>
      <w:r>
        <w:rPr>
          <w:lang w:val="ru-RU" w:eastAsia="ru-RU" w:bidi="ru-RU"/>
          <w:w w:val="100"/>
          <w:spacing w:val="0"/>
          <w:color w:val="000000"/>
          <w:position w:val="0"/>
        </w:rPr>
        <w:t>Довод жалобы обоснован.</w:t>
      </w:r>
    </w:p>
    <w:p>
      <w:pPr>
        <w:pStyle w:val="Style25"/>
        <w:numPr>
          <w:ilvl w:val="0"/>
          <w:numId w:val="1"/>
        </w:numPr>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В ходе проведения внеплановой проверки установлено:</w:t>
      </w:r>
    </w:p>
    <w:p>
      <w:pPr>
        <w:pStyle w:val="Style25"/>
        <w:numPr>
          <w:ilvl w:val="1"/>
          <w:numId w:val="1"/>
        </w:numPr>
        <w:tabs>
          <w:tab w:leader="none" w:pos="1237" w:val="left"/>
        </w:tabs>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соответствии с п.7 ч.5 ст.63 и 4.1 ст.64 Закона извещение и документация об аукционе должны содержать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Согласно ч.З ст. 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w:t>
      </w:r>
    </w:p>
    <w:p>
      <w:pPr>
        <w:pStyle w:val="Style2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Пунктом 5 Постановления Правительства Российской Федерации от 29 декабря 2015 г. </w:t>
      </w:r>
      <w:r>
        <w:rPr>
          <w:lang w:val="en-US" w:eastAsia="en-US" w:bidi="en-US"/>
          <w:w w:val="100"/>
          <w:spacing w:val="0"/>
          <w:color w:val="000000"/>
          <w:position w:val="0"/>
        </w:rPr>
        <w:t xml:space="preserve">N </w:t>
      </w:r>
      <w:r>
        <w:rPr>
          <w:lang w:val="ru-RU" w:eastAsia="ru-RU" w:bidi="ru-RU"/>
          <w:w w:val="100"/>
          <w:spacing w:val="0"/>
          <w:color w:val="000000"/>
          <w:position w:val="0"/>
        </w:rPr>
        <w:t>1457 "О перечне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установлено, что работы, услуги, закупаемые для обеспечения государственных и муниципальных нужд, не могут выполняться, оказываться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w:t>
      </w:r>
    </w:p>
    <w:p>
      <w:pPr>
        <w:pStyle w:val="Style25"/>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Заказчиком в извещении и документации об аукционе в нарушение ч.5 ст.63 и</w:t>
      </w:r>
    </w:p>
    <w:p>
      <w:pPr>
        <w:pStyle w:val="Style25"/>
        <w:numPr>
          <w:ilvl w:val="0"/>
          <w:numId w:val="5"/>
        </w:numPr>
        <w:tabs>
          <w:tab w:leader="none" w:pos="474"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ст.64 не установлен запрет в соответствии с Постановлением Правительства Российской Федерации от 29 декабря 2015 г. </w:t>
      </w:r>
      <w:r>
        <w:rPr>
          <w:lang w:val="en-US" w:eastAsia="en-US" w:bidi="en-US"/>
          <w:w w:val="100"/>
          <w:spacing w:val="0"/>
          <w:color w:val="000000"/>
          <w:position w:val="0"/>
        </w:rPr>
        <w:t xml:space="preserve">N </w:t>
      </w:r>
      <w:r>
        <w:rPr>
          <w:lang w:val="ru-RU" w:eastAsia="ru-RU" w:bidi="ru-RU"/>
          <w:w w:val="100"/>
          <w:spacing w:val="0"/>
          <w:color w:val="000000"/>
          <w:position w:val="0"/>
        </w:rPr>
        <w:t>1457.</w:t>
      </w:r>
    </w:p>
    <w:p>
      <w:pPr>
        <w:pStyle w:val="Style25"/>
        <w:numPr>
          <w:ilvl w:val="1"/>
          <w:numId w:val="1"/>
        </w:numPr>
        <w:tabs>
          <w:tab w:leader="none" w:pos="1168" w:val="left"/>
        </w:tabs>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соответствии с п.1 ч.1 ст.64 Закона документация об аукционе должна содержать, в том числе, наименование и описание объекта закупки и условий контракта в соответствии со ст.33 настоящего закона. Частью 1 ст.33 Закона предусмотрено,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Согласно п.1 ч.1 ст.ЗЗ Закона не допускается включение в документацию о закупке требований к товарам, информации, работам, услугам при условии, что такие требования влекут за собой ограничение количества участников закупки.</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Также, п.1 4.1 ст.ЗЗ Закона о контрактной системе установлено, при описании объекта закупки заказчик должен руководствоваться, в том числе, следующими правилами:</w:t>
      </w:r>
    </w:p>
    <w:p>
      <w:pPr>
        <w:pStyle w:val="Style25"/>
        <w:numPr>
          <w:ilvl w:val="0"/>
          <w:numId w:val="3"/>
        </w:numPr>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 xml:space="preserve"> описание объекта закупки должно носить объективный характер;</w:t>
      </w:r>
    </w:p>
    <w:p>
      <w:pPr>
        <w:pStyle w:val="Style25"/>
        <w:numPr>
          <w:ilvl w:val="0"/>
          <w:numId w:val="3"/>
        </w:numPr>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 при составлении описания объекта закупки, если это возможно, должны использоваться стандартные показатели, требования, касающиеся технических и качественных характеристик объекта закупки, установленные в соответствии с техническими регламентами, стандартами и иными требованиями, предусмотренными законодательством о техническом регулировании.</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Данные правила предполагают описание объекта закупки путем указания тех требований к товарам, которые изложены в стандартах на данный товар. Кроме того, такие требования должны носить объективный характер. Одновременно установлен запрет требования информации, обязанность представления которой ведет к ограничению количества участников.</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соответствии с ч.2 ст.ЗЗ Закона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Согласно п.З ч.З ст.66 Закона при заключении контракта на выполнение работы, для выполнения которой используется товар, заявка на участие в аукционе, помимо прочего, должна содержать конкретные показатели используемого товара, соответствующие значениям, установленным документацией о таком аукционе.</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Из совокупного анализа приведенных норм следует, что устанавливая в документации о закупке требования к товарам, используемым при выполнении работ (минимальные значения, максимальные значения, значения, которые не могут изменяться, подлежащие конкретизации), заказчик, тем самым, определяет перечень сведений о товаре, которые должны быть указаны в составе заявке на участие в аукционе, иными словами - содержание заявки.</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Часть 6 статьи 66 Закона устанавливает запрет на требования от участников закупки документов и сведений, непредусмотренных ч.ч. 3,5 ст.66 Закона о контрактной системе. Пункт 2 части 1 статьи 64 Закона также предусматривает запрет на установление требований к содержанию заявок, которые ограничивают круг участников.</w:t>
      </w:r>
    </w:p>
    <w:p>
      <w:pPr>
        <w:pStyle w:val="Style25"/>
        <w:tabs>
          <w:tab w:leader="none" w:pos="6233" w:val="left"/>
          <w:tab w:leader="none" w:pos="9775" w:val="right"/>
        </w:tabs>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Данные требования направлены на достижение целей законодательства о контрактной системе, а именно: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а также соблюдение принципов на которых основывается контрактная система (открытости, прозрачности информации о контрактной системе в сфере закупок,</w:t>
        <w:tab/>
        <w:t>обеспечения</w:t>
        <w:tab/>
        <w:t>конкуренции,</w:t>
      </w:r>
    </w:p>
    <w:p>
      <w:pPr>
        <w:pStyle w:val="Style25"/>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25"/>
        <w:tabs>
          <w:tab w:leader="none" w:pos="6233" w:val="left"/>
          <w:tab w:leader="none" w:pos="9775" w:val="right"/>
        </w:tabs>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Следовательно, требования документации</w:t>
        <w:tab/>
        <w:t>об аукционе</w:t>
        <w:tab/>
        <w:t>к товарам,</w:t>
      </w:r>
    </w:p>
    <w:p>
      <w:pPr>
        <w:pStyle w:val="Style25"/>
        <w:tabs>
          <w:tab w:leader="none" w:pos="6233" w:val="left"/>
          <w:tab w:leader="none" w:pos="9775" w:val="righ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используемым при выполнении работ, с учетом целей и принципов контрактной системы, должны носить объективный характер, быть направленными на обеспечение обоснованной потребности заказчика, не выходить за рамки стандартных требований для таких товаров, не допускать ограничения круга участников закупки, в том числе по причине невозможности подтверждения их соответствия требованиям документации об</w:t>
        <w:tab/>
        <w:t>аукционе и</w:t>
        <w:tab/>
        <w:t>действующим</w:t>
      </w:r>
    </w:p>
    <w:p>
      <w:pPr>
        <w:pStyle w:val="Style25"/>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государственным стандартам.</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Применительно к товарам, используемым при выполнении работ, соблюдением правил описания объекта закупки является установление требований к товарам в соответствии с государственными стандартами, распространяющимися на данные товары.</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Вместе с тем, устанавливая требования к материалам из которых изготавливается товар, используемый при выполнении работ, заказчик нарушает правила описания объекта закупки, запрашивает сведения, непредусмотренные ст.66 Закона о контрактной системе, создает преимущества производителям таких товаров.</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Требования к товарам, подлежащие конкретизации участниками, содержатся в разработанном, по собственной инициативе Заказчиком Разделе V «Техническое задание» документации об аукционе (далее - Техническое задание). Так Заказчиком установлены следующие показатели, которым должны соответствовать окна, а именно:</w:t>
      </w:r>
    </w:p>
    <w:p>
      <w:pPr>
        <w:pStyle w:val="Style25"/>
        <w:widowControl w:val="0"/>
        <w:keepNext w:val="0"/>
        <w:keepLines w:val="0"/>
        <w:shd w:val="clear" w:color="auto" w:fill="auto"/>
        <w:bidi w:val="0"/>
        <w:jc w:val="left"/>
        <w:spacing w:before="0" w:after="0"/>
        <w:ind w:left="20" w:right="0" w:firstLine="560"/>
      </w:pPr>
      <w:r>
        <w:rPr>
          <w:lang w:val="ru-RU" w:eastAsia="ru-RU" w:bidi="ru-RU"/>
          <w:w w:val="100"/>
          <w:spacing w:val="0"/>
          <w:color w:val="000000"/>
          <w:position w:val="0"/>
        </w:rPr>
        <w:t>Физико-механические характеристики профиля:</w:t>
      </w:r>
    </w:p>
    <w:p>
      <w:pPr>
        <w:pStyle w:val="Style25"/>
        <w:numPr>
          <w:ilvl w:val="0"/>
          <w:numId w:val="3"/>
        </w:numPr>
        <w:widowControl w:val="0"/>
        <w:keepNext w:val="0"/>
        <w:keepLines w:val="0"/>
        <w:shd w:val="clear" w:color="auto" w:fill="auto"/>
        <w:bidi w:val="0"/>
        <w:jc w:val="left"/>
        <w:spacing w:before="0" w:after="0"/>
        <w:ind w:left="560" w:right="1420" w:firstLine="0"/>
      </w:pPr>
      <w:r>
        <w:rPr>
          <w:lang w:val="ru-RU" w:eastAsia="ru-RU" w:bidi="ru-RU"/>
          <w:w w:val="100"/>
          <w:spacing w:val="0"/>
          <w:color w:val="000000"/>
          <w:position w:val="0"/>
        </w:rPr>
        <w:t xml:space="preserve"> Приведённое сопротивление теплопередаче ПВХ профиля с установленными стальными вкладышами, м2оС/Вт, не более 0,90</w:t>
      </w:r>
    </w:p>
    <w:p>
      <w:pPr>
        <w:pStyle w:val="Style25"/>
        <w:numPr>
          <w:ilvl w:val="0"/>
          <w:numId w:val="3"/>
        </w:numPr>
        <w:widowControl w:val="0"/>
        <w:keepNext w:val="0"/>
        <w:keepLines w:val="0"/>
        <w:shd w:val="clear" w:color="auto" w:fill="auto"/>
        <w:bidi w:val="0"/>
        <w:jc w:val="left"/>
        <w:spacing w:before="0" w:after="0"/>
        <w:ind w:left="20" w:right="0" w:firstLine="560"/>
      </w:pPr>
      <w:r>
        <w:rPr>
          <w:lang w:val="ru-RU" w:eastAsia="ru-RU" w:bidi="ru-RU"/>
          <w:w w:val="100"/>
          <w:spacing w:val="0"/>
          <w:color w:val="000000"/>
          <w:position w:val="0"/>
        </w:rPr>
        <w:t xml:space="preserve"> Прочность при растяжении Мпа, не менее 37</w:t>
      </w:r>
    </w:p>
    <w:p>
      <w:pPr>
        <w:pStyle w:val="Style25"/>
        <w:numPr>
          <w:ilvl w:val="0"/>
          <w:numId w:val="3"/>
        </w:numPr>
        <w:widowControl w:val="0"/>
        <w:keepNext w:val="0"/>
        <w:keepLines w:val="0"/>
        <w:shd w:val="clear" w:color="auto" w:fill="auto"/>
        <w:bidi w:val="0"/>
        <w:jc w:val="left"/>
        <w:spacing w:before="0" w:after="0"/>
        <w:ind w:left="560" w:right="1420" w:firstLine="0"/>
      </w:pPr>
      <w:r>
        <w:rPr>
          <w:lang w:val="ru-RU" w:eastAsia="ru-RU" w:bidi="ru-RU"/>
          <w:w w:val="100"/>
          <w:spacing w:val="0"/>
          <w:color w:val="000000"/>
          <w:position w:val="0"/>
        </w:rPr>
        <w:t xml:space="preserve"> Температура размягчения по Вика (оС), не менее 75 -Ударная вязкость по Шарпи, не менее, (кДж/м2), 15</w:t>
      </w:r>
    </w:p>
    <w:p>
      <w:pPr>
        <w:pStyle w:val="Style25"/>
        <w:numPr>
          <w:ilvl w:val="0"/>
          <w:numId w:val="3"/>
        </w:numPr>
        <w:widowControl w:val="0"/>
        <w:keepNext w:val="0"/>
        <w:keepLines w:val="0"/>
        <w:shd w:val="clear" w:color="auto" w:fill="auto"/>
        <w:bidi w:val="0"/>
        <w:jc w:val="left"/>
        <w:spacing w:before="0" w:after="0"/>
        <w:ind w:left="560" w:right="1420" w:firstLine="0"/>
      </w:pPr>
      <w:r>
        <w:rPr>
          <w:lang w:val="ru-RU" w:eastAsia="ru-RU" w:bidi="ru-RU"/>
          <w:w w:val="100"/>
          <w:spacing w:val="0"/>
          <w:color w:val="000000"/>
          <w:position w:val="0"/>
        </w:rPr>
        <w:t xml:space="preserve"> Изменение ударной вязкости после облучения в аппарате "Ксенотест", не более (%), 20</w:t>
      </w:r>
    </w:p>
    <w:p>
      <w:pPr>
        <w:pStyle w:val="Style25"/>
        <w:numPr>
          <w:ilvl w:val="0"/>
          <w:numId w:val="3"/>
        </w:numPr>
        <w:widowControl w:val="0"/>
        <w:keepNext w:val="0"/>
        <w:keepLines w:val="0"/>
        <w:shd w:val="clear" w:color="auto" w:fill="auto"/>
        <w:bidi w:val="0"/>
        <w:jc w:val="left"/>
        <w:spacing w:before="0" w:after="0"/>
        <w:ind w:left="20" w:right="0" w:firstLine="560"/>
      </w:pPr>
      <w:r>
        <w:rPr>
          <w:lang w:val="ru-RU" w:eastAsia="ru-RU" w:bidi="ru-RU"/>
          <w:w w:val="100"/>
          <w:spacing w:val="0"/>
          <w:color w:val="000000"/>
          <w:position w:val="0"/>
        </w:rPr>
        <w:t xml:space="preserve"> Коэффициент прочности сварки, не менее 0,7</w:t>
      </w:r>
    </w:p>
    <w:p>
      <w:pPr>
        <w:pStyle w:val="Style25"/>
        <w:numPr>
          <w:ilvl w:val="0"/>
          <w:numId w:val="3"/>
        </w:numPr>
        <w:widowControl w:val="0"/>
        <w:keepNext w:val="0"/>
        <w:keepLines w:val="0"/>
        <w:shd w:val="clear" w:color="auto" w:fill="auto"/>
        <w:bidi w:val="0"/>
        <w:jc w:val="left"/>
        <w:spacing w:before="0" w:after="0"/>
        <w:ind w:left="20" w:right="0" w:firstLine="560"/>
      </w:pPr>
      <w:r>
        <w:rPr>
          <w:lang w:val="ru-RU" w:eastAsia="ru-RU" w:bidi="ru-RU"/>
          <w:w w:val="100"/>
          <w:spacing w:val="0"/>
          <w:color w:val="000000"/>
          <w:position w:val="0"/>
        </w:rPr>
        <w:t xml:space="preserve"> Изменение цвета после облучения, порог серой шкалы, не более 4</w:t>
      </w:r>
    </w:p>
    <w:p>
      <w:pPr>
        <w:pStyle w:val="Style25"/>
        <w:numPr>
          <w:ilvl w:val="0"/>
          <w:numId w:val="3"/>
        </w:numPr>
        <w:widowControl w:val="0"/>
        <w:keepNext w:val="0"/>
        <w:keepLines w:val="0"/>
        <w:shd w:val="clear" w:color="auto" w:fill="auto"/>
        <w:bidi w:val="0"/>
        <w:jc w:val="left"/>
        <w:spacing w:before="0" w:after="0"/>
        <w:ind w:left="20" w:right="0" w:firstLine="560"/>
      </w:pPr>
      <w:r>
        <w:rPr>
          <w:lang w:val="ru-RU" w:eastAsia="ru-RU" w:bidi="ru-RU"/>
          <w:w w:val="100"/>
          <w:spacing w:val="0"/>
          <w:color w:val="000000"/>
          <w:position w:val="0"/>
        </w:rPr>
        <w:t xml:space="preserve"> Модуль упругости, не менее, МПа, 2590</w:t>
      </w:r>
    </w:p>
    <w:p>
      <w:pPr>
        <w:pStyle w:val="Style25"/>
        <w:numPr>
          <w:ilvl w:val="0"/>
          <w:numId w:val="3"/>
        </w:numPr>
        <w:widowControl w:val="0"/>
        <w:keepNext w:val="0"/>
        <w:keepLines w:val="0"/>
        <w:shd w:val="clear" w:color="auto" w:fill="auto"/>
        <w:bidi w:val="0"/>
        <w:jc w:val="left"/>
        <w:spacing w:before="0" w:after="0"/>
        <w:ind w:left="560" w:right="20" w:firstLine="0"/>
      </w:pPr>
      <w:r>
        <w:rPr>
          <w:lang w:val="ru-RU" w:eastAsia="ru-RU" w:bidi="ru-RU"/>
          <w:w w:val="100"/>
          <w:spacing w:val="0"/>
          <w:color w:val="000000"/>
          <w:position w:val="0"/>
        </w:rPr>
        <w:t xml:space="preserve"> Прочность угловых сварных соединений, Н, для створок более 4000; Указанные показатели могут быть определены и станут известны только по</w:t>
      </w:r>
    </w:p>
    <w:p>
      <w:pPr>
        <w:pStyle w:val="Style25"/>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результатам испытаний партии товара.</w:t>
      </w:r>
    </w:p>
    <w:p>
      <w:pPr>
        <w:pStyle w:val="Style25"/>
        <w:widowControl w:val="0"/>
        <w:keepNext w:val="0"/>
        <w:keepLines w:val="0"/>
        <w:shd w:val="clear" w:color="auto" w:fill="auto"/>
        <w:bidi w:val="0"/>
        <w:jc w:val="left"/>
        <w:spacing w:before="0" w:after="0"/>
        <w:ind w:left="20" w:right="20" w:firstLine="560"/>
      </w:pPr>
      <w:r>
        <w:rPr>
          <w:lang w:val="ru-RU" w:eastAsia="ru-RU" w:bidi="ru-RU"/>
          <w:w w:val="100"/>
          <w:spacing w:val="0"/>
          <w:color w:val="000000"/>
          <w:position w:val="0"/>
        </w:rPr>
        <w:t>Кроме того, такие требования, ограничивают круг участников закупки в связи со следующим:</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Закон, в части требований, предъявляемых при проведении электронных аукционов, не возлагает на их участников обязанность являться производителями тех материалов, которые используются при выполнении работ. Следовательно, участник закупки вправе приобрести такие товары у хозяйствующих субъектов, которые в свою очередь могут являться как их производителями, так и перепродавцами.</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Лицо, не являющееся изготовителем указанных товаров, ограничено в возможности получить данные сведения и как следствие сообщить их в своей заявке.</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При этом не указание в заявке каких-либо сведений о товаре, в отношении, которых заказчиком установлены требуемые к заполнению значения, влечет безусловное отклонение такой заявки аукционной комиссией, что лишает участника закупки возможности принять участие в таком аукционе. Также требование об указании сведений о материалах, используемых при изготовлении товара, вынуждает участника заранее, на стадии подачи заявки, определить вещества, которые будут использованы производителем необходимого товара. Закон не возлагает на участников закупки обязанность приобретать товары, необходимые при выполнении работ, до подачи заявки на участие в аукционе. Подавая заявку на участие в аукционе, потенциальный участник вынужден сформировать свое предложение таким образом, чтобы оно отвечало всем требованиям и условия документации об аукционе. Таким образом, предлагая характеристики, определяемые в процессе производства, участник берет на себя риск несоблюдения данных характеристик производителем, использующим материалы с иными характеристиками, но также производящего конечный продукт в соответствии с соответствующими стандартами.</w:t>
      </w:r>
    </w:p>
    <w:p>
      <w:pPr>
        <w:pStyle w:val="Style2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силу требований ч.2 ст.70 Закона, предусматривающей, что информация о товаре, указанная в заявке участника включается в проект контракта при его заключении, характеристики товаров, указанные в заявке участника аукциона, включаются в состав рабочей документации. Следовательно, для использования какого-либо товара при выполнении работ подрядчик обязан подтвердить</w:t>
      </w:r>
    </w:p>
    <w:p>
      <w:pPr>
        <w:pStyle w:val="Style25"/>
        <w:widowControl w:val="0"/>
        <w:keepNext w:val="0"/>
        <w:keepLines w:val="0"/>
        <w:shd w:val="clear" w:color="auto" w:fill="auto"/>
        <w:bidi w:val="0"/>
        <w:jc w:val="both"/>
        <w:spacing w:before="0" w:after="0"/>
        <w:ind w:left="20" w:right="400" w:firstLine="0"/>
      </w:pPr>
      <w:r>
        <w:rPr>
          <w:lang w:val="ru-RU" w:eastAsia="ru-RU" w:bidi="ru-RU"/>
          <w:w w:val="100"/>
          <w:spacing w:val="0"/>
          <w:color w:val="000000"/>
          <w:position w:val="0"/>
        </w:rPr>
        <w:t>документально его соответствие сведениям ранее указанным в заявке на участие в аукционе. Учитывая, что часть сведений, подлежащих указанию в заявке, касающаяся материалов, из которых изготавливается товар, не указывается в документах о качестве на товар, данное требование приведет к отказу лиц, добросовестно планирующих исполнять условия контракта, к отказу от намерений участвовать в аукционе на право заключения такого контракта. Кроме того, такое требование предоставляет заказчику неограниченные возможности отказа в принятии работ с использованием товаров, в отношении которых не подтверждено соответствие материалов, используемых при их изготовлении, сведениям заявки на участие в аукционе.</w:t>
      </w:r>
    </w:p>
    <w:p>
      <w:pPr>
        <w:pStyle w:val="Style25"/>
        <w:widowControl w:val="0"/>
        <w:keepNext w:val="0"/>
        <w:keepLines w:val="0"/>
        <w:shd w:val="clear" w:color="auto" w:fill="auto"/>
        <w:bidi w:val="0"/>
        <w:jc w:val="both"/>
        <w:spacing w:before="0" w:after="0"/>
        <w:ind w:left="20" w:right="400" w:firstLine="560"/>
      </w:pPr>
      <w:r>
        <w:rPr>
          <w:lang w:val="ru-RU" w:eastAsia="ru-RU" w:bidi="ru-RU"/>
          <w:w w:val="100"/>
          <w:spacing w:val="0"/>
          <w:color w:val="000000"/>
          <w:position w:val="0"/>
        </w:rPr>
        <w:t>Исходя из изложенного, Комиссия Ростовского УФАС России пришла к выводу, что действия заказчика, связанные с установлением избыточных требований к материалам, является нарушением правил описания объекта закупки</w:t>
      </w:r>
    </w:p>
    <w:p>
      <w:pPr>
        <w:pStyle w:val="Style25"/>
        <w:numPr>
          <w:ilvl w:val="0"/>
          <w:numId w:val="7"/>
        </w:numPr>
        <w:tabs>
          <w:tab w:leader="none" w:pos="459" w:val="left"/>
        </w:tabs>
        <w:widowControl w:val="0"/>
        <w:keepNext w:val="0"/>
        <w:keepLines w:val="0"/>
        <w:shd w:val="clear" w:color="auto" w:fill="auto"/>
        <w:bidi w:val="0"/>
        <w:jc w:val="both"/>
        <w:spacing w:before="0" w:after="0"/>
        <w:ind w:left="20" w:right="400" w:firstLine="0"/>
      </w:pPr>
      <w:r>
        <w:rPr>
          <w:lang w:val="ru-RU" w:eastAsia="ru-RU" w:bidi="ru-RU"/>
          <w:w w:val="100"/>
          <w:spacing w:val="0"/>
          <w:color w:val="000000"/>
          <w:position w:val="0"/>
        </w:rPr>
        <w:t>ст.64 Закона, в части их объективного характера и имеют признаки ограничения доступа к участию в закупке.</w:t>
      </w:r>
    </w:p>
    <w:p>
      <w:pPr>
        <w:pStyle w:val="Style25"/>
        <w:numPr>
          <w:ilvl w:val="1"/>
          <w:numId w:val="1"/>
        </w:numPr>
        <w:tabs>
          <w:tab w:leader="none" w:pos="1194" w:val="left"/>
        </w:tabs>
        <w:widowControl w:val="0"/>
        <w:keepNext w:val="0"/>
        <w:keepLines w:val="0"/>
        <w:shd w:val="clear" w:color="auto" w:fill="auto"/>
        <w:bidi w:val="0"/>
        <w:jc w:val="both"/>
        <w:spacing w:before="0" w:after="0"/>
        <w:ind w:left="20" w:right="400" w:firstLine="560"/>
      </w:pPr>
      <w:r>
        <w:rPr>
          <w:lang w:val="ru-RU" w:eastAsia="ru-RU" w:bidi="ru-RU"/>
          <w:w w:val="100"/>
          <w:spacing w:val="0"/>
          <w:color w:val="000000"/>
          <w:position w:val="0"/>
        </w:rPr>
        <w:t>В пункте «Описание объекта закупки наименование, количество, комплектация, характеристика» части V технического задания Заказчиком установлено в том числе: «Профиль ПВХ, оконные блоки ПВХ, стеклопакеты, устройства открывания и закрывания должны соответствовать требованиям согласно нормативным документам действующим на территории РФ, 30674-99, 24866-99, согласно нормативным документам действующим на территории РФ.»</w:t>
      </w:r>
    </w:p>
    <w:p>
      <w:pPr>
        <w:pStyle w:val="Style25"/>
        <w:widowControl w:val="0"/>
        <w:keepNext w:val="0"/>
        <w:keepLines w:val="0"/>
        <w:shd w:val="clear" w:color="auto" w:fill="auto"/>
        <w:bidi w:val="0"/>
        <w:jc w:val="both"/>
        <w:spacing w:before="0" w:after="0"/>
        <w:ind w:left="20" w:right="400" w:firstLine="560"/>
      </w:pPr>
      <w:r>
        <w:rPr>
          <w:lang w:val="ru-RU" w:eastAsia="ru-RU" w:bidi="ru-RU"/>
          <w:w w:val="100"/>
          <w:spacing w:val="0"/>
          <w:color w:val="000000"/>
          <w:position w:val="0"/>
        </w:rPr>
        <w:t>В соответствии с п.1 4.1 ст.64 Закона документация об аукционе должна содержать, в том числе, наименование и описание объекта закупки и условий контракта в соответствии со ст.ЗЗ настоящего закона.</w:t>
      </w:r>
    </w:p>
    <w:p>
      <w:pPr>
        <w:pStyle w:val="Style25"/>
        <w:widowControl w:val="0"/>
        <w:keepNext w:val="0"/>
        <w:keepLines w:val="0"/>
        <w:shd w:val="clear" w:color="auto" w:fill="auto"/>
        <w:bidi w:val="0"/>
        <w:jc w:val="both"/>
        <w:spacing w:before="0" w:after="0"/>
        <w:ind w:left="20" w:right="400" w:firstLine="560"/>
      </w:pPr>
      <w:r>
        <w:rPr>
          <w:lang w:val="ru-RU" w:eastAsia="ru-RU" w:bidi="ru-RU"/>
          <w:w w:val="100"/>
          <w:spacing w:val="0"/>
          <w:color w:val="000000"/>
          <w:position w:val="0"/>
        </w:rPr>
        <w:t>Также, п.1 ч.1 ст.ЗЗ Закона о контрактной системе установлено, при описании объекта закупки заказчик должен руководствоваться, в том числе, следующими правилами: описание объекта закупки должно носить объективный характер; при составлении описания объекта закупки, если это возможно, должны использоваться стандартные показатели, требования, касающиеся технических и качественных характеристик объекта закупки, установленные в соответствии с техническими регламентами, стандартами и иными требованиями, предусмотренными законодательством о техническом регулировании.</w:t>
      </w:r>
    </w:p>
    <w:p>
      <w:pPr>
        <w:pStyle w:val="Style25"/>
        <w:widowControl w:val="0"/>
        <w:keepNext w:val="0"/>
        <w:keepLines w:val="0"/>
        <w:shd w:val="clear" w:color="auto" w:fill="auto"/>
        <w:bidi w:val="0"/>
        <w:jc w:val="both"/>
        <w:spacing w:before="0" w:after="0"/>
        <w:ind w:left="20" w:right="400" w:firstLine="560"/>
      </w:pPr>
      <w:r>
        <w:rPr>
          <w:lang w:val="ru-RU" w:eastAsia="ru-RU" w:bidi="ru-RU"/>
          <w:w w:val="100"/>
          <w:spacing w:val="0"/>
          <w:color w:val="000000"/>
          <w:position w:val="0"/>
        </w:rPr>
        <w:t>В соответствии с приказом Федерального агентства по техническому регулированию и метрологии Министерства промышленности и торговли Российской Федерации № 362-ст от 15.05.2015 г. ГОСТ 24866-99 утратил силу с 1 апреля 2016 года, взамен введен в действие ГОСТ 24866-2014.</w:t>
      </w:r>
    </w:p>
    <w:p>
      <w:pPr>
        <w:pStyle w:val="Style25"/>
        <w:widowControl w:val="0"/>
        <w:keepNext w:val="0"/>
        <w:keepLines w:val="0"/>
        <w:shd w:val="clear" w:color="auto" w:fill="auto"/>
        <w:bidi w:val="0"/>
        <w:jc w:val="both"/>
        <w:spacing w:before="0" w:after="300"/>
        <w:ind w:left="20" w:right="400" w:firstLine="560"/>
      </w:pPr>
      <w:r>
        <w:rPr>
          <w:lang w:val="ru-RU" w:eastAsia="ru-RU" w:bidi="ru-RU"/>
          <w:w w:val="100"/>
          <w:spacing w:val="0"/>
          <w:color w:val="000000"/>
          <w:position w:val="0"/>
        </w:rPr>
        <w:t>Комиссия Ростовского УФАС России приходит к выводу, что заказчиком в нарушение ч.1 ст.64 установлено необоснованное требование о соответствии окон не действующему ГОСТ 24866-99.</w:t>
      </w:r>
    </w:p>
    <w:p>
      <w:pPr>
        <w:pStyle w:val="Style25"/>
        <w:widowControl w:val="0"/>
        <w:keepNext w:val="0"/>
        <w:keepLines w:val="0"/>
        <w:shd w:val="clear" w:color="auto" w:fill="auto"/>
        <w:bidi w:val="0"/>
        <w:jc w:val="left"/>
        <w:spacing w:before="0" w:after="340"/>
        <w:ind w:left="20" w:right="240" w:firstLine="560"/>
      </w:pPr>
      <w:r>
        <w:rPr>
          <w:lang w:val="ru-RU" w:eastAsia="ru-RU" w:bidi="ru-RU"/>
          <w:w w:val="100"/>
          <w:spacing w:val="0"/>
          <w:color w:val="000000"/>
          <w:position w:val="0"/>
        </w:rPr>
        <w:t>На основании Постановления Правительства РФ от 26.08.2013г. № 728, в соответствии с ч.15 ст.99, ч.8 ст. 106 Закона Комиссия Ростовского УФАС России,</w:t>
      </w:r>
    </w:p>
    <w:p>
      <w:pPr>
        <w:pStyle w:val="Style29"/>
        <w:widowControl w:val="0"/>
        <w:keepNext/>
        <w:keepLines/>
        <w:shd w:val="clear" w:color="auto" w:fill="auto"/>
        <w:bidi w:val="0"/>
        <w:spacing w:before="0" w:after="281" w:line="260" w:lineRule="exact"/>
        <w:ind w:left="0" w:right="240" w:firstLine="0"/>
      </w:pPr>
      <w:bookmarkStart w:id="1" w:name="bookmark1"/>
      <w:r>
        <w:rPr>
          <w:lang w:val="ru-RU" w:eastAsia="ru-RU" w:bidi="ru-RU"/>
          <w:w w:val="100"/>
          <w:spacing w:val="0"/>
          <w:color w:val="000000"/>
          <w:position w:val="0"/>
        </w:rPr>
        <w:t>РЕШИЛА:</w:t>
      </w:r>
      <w:bookmarkEnd w:id="1"/>
    </w:p>
    <w:p>
      <w:pPr>
        <w:pStyle w:val="Style25"/>
        <w:numPr>
          <w:ilvl w:val="0"/>
          <w:numId w:val="9"/>
        </w:numPr>
        <w:widowControl w:val="0"/>
        <w:keepNext w:val="0"/>
        <w:keepLines w:val="0"/>
        <w:shd w:val="clear" w:color="auto" w:fill="auto"/>
        <w:bidi w:val="0"/>
        <w:jc w:val="both"/>
        <w:spacing w:before="0" w:after="0" w:line="260" w:lineRule="exact"/>
        <w:ind w:left="20" w:right="0" w:firstLine="560"/>
      </w:pPr>
      <w:r>
        <w:rPr>
          <w:lang w:val="ru-RU" w:eastAsia="ru-RU" w:bidi="ru-RU"/>
          <w:w w:val="100"/>
          <w:spacing w:val="0"/>
          <w:color w:val="000000"/>
          <w:position w:val="0"/>
        </w:rPr>
        <w:t>Признать жалобу ООО «АРТСТРОЙ-21 ВЕК» необоснованной.</w:t>
      </w:r>
    </w:p>
    <w:p>
      <w:pPr>
        <w:pStyle w:val="Style25"/>
        <w:numPr>
          <w:ilvl w:val="0"/>
          <w:numId w:val="9"/>
        </w:numPr>
        <w:widowControl w:val="0"/>
        <w:keepNext w:val="0"/>
        <w:keepLines w:val="0"/>
        <w:shd w:val="clear" w:color="auto" w:fill="auto"/>
        <w:bidi w:val="0"/>
        <w:jc w:val="both"/>
        <w:spacing w:before="0" w:after="0" w:line="260" w:lineRule="exact"/>
        <w:ind w:left="20" w:right="0" w:firstLine="560"/>
      </w:pPr>
      <w:r>
        <w:rPr>
          <w:lang w:val="ru-RU" w:eastAsia="ru-RU" w:bidi="ru-RU"/>
          <w:w w:val="100"/>
          <w:spacing w:val="0"/>
          <w:color w:val="000000"/>
          <w:position w:val="0"/>
        </w:rPr>
        <w:t>Признать жалобу ООО «Атлас» обоснованной.</w:t>
      </w:r>
      <w:r>
        <w:br w:type="page"/>
      </w:r>
    </w:p>
    <w:p>
      <w:pPr>
        <w:pStyle w:val="Style25"/>
        <w:numPr>
          <w:ilvl w:val="0"/>
          <w:numId w:val="9"/>
        </w:numPr>
        <w:widowControl w:val="0"/>
        <w:keepNext w:val="0"/>
        <w:keepLines w:val="0"/>
        <w:shd w:val="clear" w:color="auto" w:fill="auto"/>
        <w:bidi w:val="0"/>
        <w:jc w:val="left"/>
        <w:spacing w:before="0" w:after="0" w:line="260" w:lineRule="exact"/>
        <w:ind w:left="0" w:right="0" w:firstLine="560"/>
      </w:pPr>
      <w:r>
        <w:rPr>
          <w:lang w:val="ru-RU" w:eastAsia="ru-RU" w:bidi="ru-RU"/>
          <w:w w:val="100"/>
          <w:spacing w:val="0"/>
          <w:color w:val="000000"/>
          <w:position w:val="0"/>
        </w:rPr>
        <w:t>Признать Заказчика нарушившим ч.5 ст.63, ч. 1 ст. 64 Закона.</w:t>
      </w:r>
    </w:p>
    <w:p>
      <w:pPr>
        <w:pStyle w:val="Style25"/>
        <w:numPr>
          <w:ilvl w:val="0"/>
          <w:numId w:val="9"/>
        </w:numPr>
        <w:widowControl w:val="0"/>
        <w:keepNext w:val="0"/>
        <w:keepLines w:val="0"/>
        <w:shd w:val="clear" w:color="auto" w:fill="auto"/>
        <w:bidi w:val="0"/>
        <w:jc w:val="left"/>
        <w:spacing w:before="0" w:after="0"/>
        <w:ind w:left="560" w:right="260" w:firstLine="0"/>
      </w:pPr>
      <w:r>
        <w:rPr>
          <w:lang w:val="ru-RU" w:eastAsia="ru-RU" w:bidi="ru-RU"/>
          <w:w w:val="100"/>
          <w:spacing w:val="0"/>
          <w:color w:val="000000"/>
          <w:position w:val="0"/>
        </w:rPr>
        <w:t>Выдать Заказчику предписание об отмене протоколов и аннулировании электронного аукциона для закупки №0321100003617000024.</w:t>
      </w:r>
    </w:p>
    <w:p>
      <w:pPr>
        <w:pStyle w:val="Style25"/>
        <w:widowControl w:val="0"/>
        <w:keepNext w:val="0"/>
        <w:keepLines w:val="0"/>
        <w:shd w:val="clear" w:color="auto" w:fill="auto"/>
        <w:bidi w:val="0"/>
        <w:jc w:val="left"/>
        <w:spacing w:before="0" w:after="0"/>
        <w:ind w:left="560" w:right="260" w:firstLine="0"/>
      </w:pPr>
      <w:r>
        <w:rPr>
          <w:lang w:val="ru-RU" w:eastAsia="ru-RU" w:bidi="ru-RU"/>
          <w:w w:val="100"/>
          <w:spacing w:val="0"/>
          <w:color w:val="000000"/>
          <w:position w:val="0"/>
        </w:rPr>
        <w:t>5.Оператору электронной площадки обеспечить Заказчику возможность исполнения предписания.</w:t>
      </w:r>
    </w:p>
    <w:p>
      <w:pPr>
        <w:pStyle w:val="Style25"/>
        <w:widowControl w:val="0"/>
        <w:keepNext w:val="0"/>
        <w:keepLines w:val="0"/>
        <w:shd w:val="clear" w:color="auto" w:fill="auto"/>
        <w:bidi w:val="0"/>
        <w:jc w:val="left"/>
        <w:spacing w:before="0" w:after="243" w:line="313" w:lineRule="exact"/>
        <w:ind w:left="560" w:right="260" w:firstLine="0"/>
      </w:pPr>
      <w:r>
        <w:rPr>
          <w:lang w:val="ru-RU" w:eastAsia="ru-RU" w:bidi="ru-RU"/>
          <w:w w:val="100"/>
          <w:spacing w:val="0"/>
          <w:color w:val="000000"/>
          <w:position w:val="0"/>
        </w:rPr>
        <w:t>6.Рассмотреть вопрос о привлечении виновных должностных лиц Заказчика к административной ответственности.</w:t>
      </w:r>
    </w:p>
    <w:p>
      <w:pPr>
        <w:pStyle w:val="Style25"/>
        <w:widowControl w:val="0"/>
        <w:keepNext w:val="0"/>
        <w:keepLines w:val="0"/>
        <w:shd w:val="clear" w:color="auto" w:fill="auto"/>
        <w:bidi w:val="0"/>
        <w:jc w:val="left"/>
        <w:spacing w:before="0" w:after="0"/>
        <w:ind w:left="0" w:right="260" w:firstLine="560"/>
        <w:sectPr>
          <w:type w:val="continuous"/>
          <w:pgSz w:w="11906" w:h="16838"/>
          <w:pgMar w:top="459" w:left="878" w:right="702" w:bottom="1118" w:header="0" w:footer="3" w:gutter="0"/>
          <w:rtlGutter w:val="0"/>
          <w:cols w:space="720"/>
          <w:noEndnote/>
          <w:docGrid w:linePitch="360"/>
        </w:sectPr>
      </w:pPr>
      <w:r>
        <w:rPr>
          <w:lang w:val="ru-RU" w:eastAsia="ru-RU" w:bidi="ru-RU"/>
          <w:w w:val="100"/>
          <w:spacing w:val="0"/>
          <w:color w:val="000000"/>
          <w:position w:val="0"/>
        </w:rPr>
        <w:t>В силу ч.9 ст.106 Закона решение может быть обжаловано в судебном порядке в течение трех месяцев со дня его принятия.</w:t>
      </w:r>
    </w:p>
    <w:p>
      <w:pPr>
        <w:pStyle w:val="Style25"/>
        <w:framePr w:w="1695" w:h="250" w:wrap="none" w:vAnchor="text" w:hAnchor="margin" w:x="8458" w:y="525"/>
        <w:widowControl w:val="0"/>
        <w:keepNext w:val="0"/>
        <w:keepLines w:val="0"/>
        <w:shd w:val="clear" w:color="auto" w:fill="auto"/>
        <w:bidi w:val="0"/>
        <w:jc w:val="left"/>
        <w:spacing w:before="0" w:after="0" w:line="240" w:lineRule="exact"/>
        <w:ind w:left="100" w:right="0" w:firstLine="0"/>
      </w:pPr>
      <w:r>
        <w:rPr>
          <w:rStyle w:val="CharStyle40"/>
          <w:spacing w:val="0"/>
        </w:rPr>
        <w:t>С.В. Батурин</w:t>
      </w:r>
    </w:p>
    <w:p>
      <w:pPr>
        <w:pStyle w:val="Style25"/>
        <w:framePr w:w="2242" w:h="240" w:wrap="none" w:vAnchor="text" w:hAnchor="margin" w:x="718" w:y="1138"/>
        <w:widowControl w:val="0"/>
        <w:keepNext w:val="0"/>
        <w:keepLines w:val="0"/>
        <w:shd w:val="clear" w:color="auto" w:fill="auto"/>
        <w:bidi w:val="0"/>
        <w:jc w:val="left"/>
        <w:spacing w:before="0" w:after="0" w:line="240" w:lineRule="exact"/>
        <w:ind w:left="100" w:right="0" w:firstLine="0"/>
      </w:pPr>
      <w:r>
        <w:rPr>
          <w:rStyle w:val="CharStyle40"/>
          <w:spacing w:val="0"/>
        </w:rPr>
        <w:t>Члены Комиссии:</w:t>
      </w:r>
    </w:p>
    <w:p>
      <w:pPr>
        <w:pStyle w:val="Style25"/>
        <w:framePr w:w="1897" w:h="250" w:wrap="none" w:vAnchor="text" w:hAnchor="margin" w:x="8364" w:y="1756"/>
        <w:widowControl w:val="0"/>
        <w:keepNext w:val="0"/>
        <w:keepLines w:val="0"/>
        <w:shd w:val="clear" w:color="auto" w:fill="auto"/>
        <w:bidi w:val="0"/>
        <w:jc w:val="left"/>
        <w:spacing w:before="0" w:after="0" w:line="240" w:lineRule="exact"/>
        <w:ind w:left="100" w:right="0" w:firstLine="0"/>
      </w:pPr>
      <w:r>
        <w:rPr>
          <w:rStyle w:val="CharStyle40"/>
          <w:spacing w:val="0"/>
        </w:rPr>
        <w:t>Н.А. Путинцев</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15" w:lineRule="exact"/>
      </w:pPr>
    </w:p>
    <w:p>
      <w:pPr>
        <w:widowControl w:val="0"/>
        <w:rPr>
          <w:sz w:val="2"/>
          <w:szCs w:val="2"/>
        </w:rPr>
      </w:pPr>
    </w:p>
    <w:sectPr>
      <w:type w:val="continuous"/>
      <w:pgSz w:w="11906" w:h="16838"/>
      <w:pgMar w:top="459" w:left="702" w:right="702" w:bottom="45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ч.%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6"/>
      <w:szCs w:val="16"/>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Основной текст (5)_"/>
    <w:basedOn w:val="DefaultParagraphFont"/>
    <w:link w:val="Style12"/>
    <w:rPr>
      <w:b w:val="0"/>
      <w:bCs w:val="0"/>
      <w:i/>
      <w:iCs/>
      <w:u w:val="none"/>
      <w:strike w:val="0"/>
      <w:smallCaps w:val="0"/>
      <w:sz w:val="26"/>
      <w:szCs w:val="26"/>
      <w:rFonts w:ascii="Times New Roman" w:eastAsia="Times New Roman" w:hAnsi="Times New Roman" w:cs="Times New Roman"/>
    </w:rPr>
  </w:style>
  <w:style w:type="character" w:customStyle="1" w:styleId="CharStyle15">
    <w:name w:val="Основной текст (6)_"/>
    <w:basedOn w:val="DefaultParagraphFont"/>
    <w:link w:val="Style14"/>
    <w:rPr>
      <w:b w:val="0"/>
      <w:bCs w:val="0"/>
      <w:i/>
      <w:iCs/>
      <w:u w:val="none"/>
      <w:strike w:val="0"/>
      <w:smallCaps w:val="0"/>
      <w:sz w:val="20"/>
      <w:szCs w:val="20"/>
      <w:rFonts w:ascii="Times New Roman" w:eastAsia="Times New Roman" w:hAnsi="Times New Roman" w:cs="Times New Roman"/>
      <w:spacing w:val="-10"/>
    </w:rPr>
  </w:style>
  <w:style w:type="character" w:customStyle="1" w:styleId="CharStyle16">
    <w:name w:val="Основной текст (6)"/>
    <w:basedOn w:val="CharStyle15"/>
    <w:rPr>
      <w:lang w:val="ru-RU" w:eastAsia="ru-RU" w:bidi="ru-RU"/>
      <w:u w:val="single"/>
      <w:w w:val="100"/>
      <w:color w:val="000000"/>
      <w:position w:val="0"/>
    </w:rPr>
  </w:style>
  <w:style w:type="character" w:customStyle="1" w:styleId="CharStyle17">
    <w:name w:val="Основной текст (6) + 12 pt,Полужирный,Не курсив,Интервал -2 pt"/>
    <w:basedOn w:val="CharStyle15"/>
    <w:rPr>
      <w:lang w:val="ru-RU" w:eastAsia="ru-RU" w:bidi="ru-RU"/>
      <w:b/>
      <w:bCs/>
      <w:i/>
      <w:iCs/>
      <w:u w:val="single"/>
      <w:sz w:val="24"/>
      <w:szCs w:val="24"/>
      <w:w w:val="100"/>
      <w:spacing w:val="-40"/>
      <w:color w:val="000000"/>
      <w:position w:val="0"/>
    </w:rPr>
  </w:style>
  <w:style w:type="character" w:customStyle="1" w:styleId="CharStyle18">
    <w:name w:val="Основной текст (6) + 12 pt,Полужирный,Не курсив,Интервал -2 pt"/>
    <w:basedOn w:val="CharStyle15"/>
    <w:rPr>
      <w:lang w:val="ru-RU" w:eastAsia="ru-RU" w:bidi="ru-RU"/>
      <w:b/>
      <w:bCs/>
      <w:i/>
      <w:iCs/>
      <w:sz w:val="24"/>
      <w:szCs w:val="24"/>
      <w:w w:val="100"/>
      <w:spacing w:val="-40"/>
      <w:color w:val="000000"/>
      <w:position w:val="0"/>
    </w:rPr>
  </w:style>
  <w:style w:type="character" w:customStyle="1" w:styleId="CharStyle20">
    <w:name w:val="Основной текст (7)_"/>
    <w:basedOn w:val="DefaultParagraphFont"/>
    <w:link w:val="Style19"/>
    <w:rPr>
      <w:b w:val="0"/>
      <w:bCs w:val="0"/>
      <w:i w:val="0"/>
      <w:iCs w:val="0"/>
      <w:u w:val="none"/>
      <w:strike w:val="0"/>
      <w:smallCaps w:val="0"/>
      <w:sz w:val="21"/>
      <w:szCs w:val="21"/>
      <w:rFonts w:ascii="Times New Roman" w:eastAsia="Times New Roman" w:hAnsi="Times New Roman" w:cs="Times New Roman"/>
    </w:rPr>
  </w:style>
  <w:style w:type="character" w:customStyle="1" w:styleId="CharStyle21">
    <w:name w:val="Основной текст (7)"/>
    <w:basedOn w:val="CharStyle20"/>
    <w:rPr>
      <w:lang w:val="ru-RU" w:eastAsia="ru-RU" w:bidi="ru-RU"/>
      <w:w w:val="100"/>
      <w:spacing w:val="0"/>
      <w:color w:val="000000"/>
      <w:position w:val="0"/>
    </w:rPr>
  </w:style>
  <w:style w:type="character" w:customStyle="1" w:styleId="CharStyle23">
    <w:name w:val="Основной текст (8)_"/>
    <w:basedOn w:val="DefaultParagraphFont"/>
    <w:link w:val="Style22"/>
    <w:rPr>
      <w:b/>
      <w:bCs/>
      <w:i w:val="0"/>
      <w:iCs w:val="0"/>
      <w:u w:val="none"/>
      <w:strike w:val="0"/>
      <w:smallCaps w:val="0"/>
      <w:sz w:val="26"/>
      <w:szCs w:val="26"/>
      <w:rFonts w:ascii="Times New Roman" w:eastAsia="Times New Roman" w:hAnsi="Times New Roman" w:cs="Times New Roman"/>
    </w:rPr>
  </w:style>
  <w:style w:type="character" w:customStyle="1" w:styleId="CharStyle24">
    <w:name w:val="Основной текст (8) + 10 pt,Не полужирный"/>
    <w:basedOn w:val="CharStyle23"/>
    <w:rPr>
      <w:lang w:val="ru-RU" w:eastAsia="ru-RU" w:bidi="ru-RU"/>
      <w:b/>
      <w:bCs/>
      <w:sz w:val="20"/>
      <w:szCs w:val="20"/>
      <w:w w:val="100"/>
      <w:spacing w:val="0"/>
      <w:color w:val="000000"/>
      <w:position w:val="0"/>
    </w:rPr>
  </w:style>
  <w:style w:type="character" w:customStyle="1" w:styleId="CharStyle26">
    <w:name w:val="Основной текст_"/>
    <w:basedOn w:val="DefaultParagraphFont"/>
    <w:link w:val="Style25"/>
    <w:rPr>
      <w:b w:val="0"/>
      <w:bCs w:val="0"/>
      <w:i w:val="0"/>
      <w:iCs w:val="0"/>
      <w:u w:val="none"/>
      <w:strike w:val="0"/>
      <w:smallCaps w:val="0"/>
      <w:sz w:val="26"/>
      <w:szCs w:val="26"/>
      <w:rFonts w:ascii="Times New Roman" w:eastAsia="Times New Roman" w:hAnsi="Times New Roman" w:cs="Times New Roman"/>
    </w:rPr>
  </w:style>
  <w:style w:type="character" w:customStyle="1" w:styleId="CharStyle27">
    <w:name w:val="Основной текст (8)"/>
    <w:basedOn w:val="CharStyle23"/>
    <w:rPr>
      <w:lang w:val="ru-RU" w:eastAsia="ru-RU" w:bidi="ru-RU"/>
      <w:u w:val="single"/>
      <w:w w:val="100"/>
      <w:spacing w:val="0"/>
      <w:color w:val="000000"/>
      <w:position w:val="0"/>
    </w:rPr>
  </w:style>
  <w:style w:type="character" w:customStyle="1" w:styleId="CharStyle28">
    <w:name w:val="Основной текст"/>
    <w:basedOn w:val="CharStyle26"/>
    <w:rPr>
      <w:lang w:val="en-US" w:eastAsia="en-US" w:bidi="en-US"/>
      <w:u w:val="single"/>
      <w:w w:val="100"/>
      <w:spacing w:val="0"/>
      <w:color w:val="000000"/>
      <w:position w:val="0"/>
    </w:rPr>
  </w:style>
  <w:style w:type="character" w:customStyle="1" w:styleId="CharStyle30">
    <w:name w:val="Заголовок №1_"/>
    <w:basedOn w:val="DefaultParagraphFont"/>
    <w:link w:val="Style29"/>
    <w:rPr>
      <w:b/>
      <w:bCs/>
      <w:i w:val="0"/>
      <w:iCs w:val="0"/>
      <w:u w:val="none"/>
      <w:strike w:val="0"/>
      <w:smallCaps w:val="0"/>
      <w:sz w:val="26"/>
      <w:szCs w:val="26"/>
      <w:rFonts w:ascii="Times New Roman" w:eastAsia="Times New Roman" w:hAnsi="Times New Roman" w:cs="Times New Roman"/>
    </w:rPr>
  </w:style>
  <w:style w:type="character" w:customStyle="1" w:styleId="CharStyle31">
    <w:name w:val="Основной текст + Полужирный"/>
    <w:basedOn w:val="CharStyle26"/>
    <w:rPr>
      <w:lang w:val="ru-RU" w:eastAsia="ru-RU" w:bidi="ru-RU"/>
      <w:b/>
      <w:bCs/>
      <w:w w:val="100"/>
      <w:spacing w:val="0"/>
      <w:color w:val="000000"/>
      <w:position w:val="0"/>
    </w:rPr>
  </w:style>
  <w:style w:type="character" w:customStyle="1" w:styleId="CharStyle33">
    <w:name w:val="Подпись к таблице_"/>
    <w:basedOn w:val="DefaultParagraphFont"/>
    <w:link w:val="Style32"/>
    <w:rPr>
      <w:b w:val="0"/>
      <w:bCs w:val="0"/>
      <w:i w:val="0"/>
      <w:iCs w:val="0"/>
      <w:u w:val="none"/>
      <w:strike w:val="0"/>
      <w:smallCaps w:val="0"/>
      <w:sz w:val="19"/>
      <w:szCs w:val="19"/>
    </w:rPr>
  </w:style>
  <w:style w:type="character" w:customStyle="1" w:styleId="CharStyle35">
    <w:name w:val="Подпись к таблице (2)_"/>
    <w:basedOn w:val="DefaultParagraphFont"/>
    <w:link w:val="Style34"/>
    <w:rPr>
      <w:b w:val="0"/>
      <w:bCs w:val="0"/>
      <w:i w:val="0"/>
      <w:iCs w:val="0"/>
      <w:u w:val="none"/>
      <w:strike w:val="0"/>
      <w:smallCaps w:val="0"/>
      <w:sz w:val="17"/>
      <w:szCs w:val="17"/>
      <w:rFonts w:ascii="Candara" w:eastAsia="Candara" w:hAnsi="Candara" w:cs="Candara"/>
    </w:rPr>
  </w:style>
  <w:style w:type="character" w:customStyle="1" w:styleId="CharStyle36">
    <w:name w:val="Основной текст + Courier New,9,5 pt"/>
    <w:basedOn w:val="CharStyle26"/>
    <w:rPr>
      <w:lang w:val="ru-RU" w:eastAsia="ru-RU" w:bidi="ru-RU"/>
      <w:sz w:val="19"/>
      <w:szCs w:val="19"/>
      <w:rFonts w:ascii="Courier New" w:eastAsia="Courier New" w:hAnsi="Courier New" w:cs="Courier New"/>
      <w:w w:val="100"/>
      <w:spacing w:val="0"/>
      <w:color w:val="000000"/>
      <w:position w:val="0"/>
    </w:rPr>
  </w:style>
  <w:style w:type="character" w:customStyle="1" w:styleId="CharStyle37">
    <w:name w:val="Основной текст + 5,5 pt"/>
    <w:basedOn w:val="CharStyle26"/>
    <w:rPr>
      <w:lang w:val="ru-RU" w:eastAsia="ru-RU" w:bidi="ru-RU"/>
      <w:sz w:val="11"/>
      <w:szCs w:val="11"/>
      <w:w w:val="100"/>
      <w:spacing w:val="0"/>
      <w:color w:val="000000"/>
      <w:position w:val="0"/>
    </w:rPr>
  </w:style>
  <w:style w:type="character" w:customStyle="1" w:styleId="CharStyle38">
    <w:name w:val="Основной текст + Arial,4 pt,Курсив"/>
    <w:basedOn w:val="CharStyle26"/>
    <w:rPr>
      <w:lang w:val="ru-RU" w:eastAsia="ru-RU" w:bidi="ru-RU"/>
      <w:i/>
      <w:iCs/>
      <w:sz w:val="8"/>
      <w:szCs w:val="8"/>
      <w:rFonts w:ascii="Arial" w:eastAsia="Arial" w:hAnsi="Arial" w:cs="Arial"/>
      <w:w w:val="100"/>
      <w:spacing w:val="0"/>
      <w:color w:val="000000"/>
      <w:position w:val="0"/>
    </w:rPr>
  </w:style>
  <w:style w:type="character" w:customStyle="1" w:styleId="CharStyle39">
    <w:name w:val="Основной текст + 10 pt"/>
    <w:basedOn w:val="CharStyle26"/>
    <w:rPr>
      <w:lang w:val="ru-RU" w:eastAsia="ru-RU" w:bidi="ru-RU"/>
      <w:sz w:val="20"/>
      <w:szCs w:val="20"/>
      <w:w w:val="100"/>
      <w:spacing w:val="0"/>
      <w:color w:val="000000"/>
      <w:position w:val="0"/>
    </w:rPr>
  </w:style>
  <w:style w:type="character" w:customStyle="1" w:styleId="CharStyle40">
    <w:name w:val="Основной текст Exact"/>
    <w:basedOn w:val="DefaultParagraphFont"/>
    <w:rPr>
      <w:b w:val="0"/>
      <w:bCs w:val="0"/>
      <w:i w:val="0"/>
      <w:iCs w:val="0"/>
      <w:u w:val="none"/>
      <w:strike w:val="0"/>
      <w:smallCaps w:val="0"/>
      <w:rFonts w:ascii="Times New Roman" w:eastAsia="Times New Roman" w:hAnsi="Times New Roman" w:cs="Times New Roman"/>
      <w:spacing w:val="3"/>
    </w:rPr>
  </w:style>
  <w:style w:type="paragraph" w:customStyle="1" w:styleId="Style3">
    <w:name w:val="Основной текст (2)"/>
    <w:basedOn w:val="Normal"/>
    <w:link w:val="CharStyle4"/>
    <w:pPr>
      <w:widowControl w:val="0"/>
      <w:shd w:val="clear" w:color="auto" w:fill="FFFFFF"/>
      <w:jc w:val="center"/>
      <w:spacing w:before="360" w:after="120" w:line="220" w:lineRule="exact"/>
    </w:pPr>
    <w:rPr>
      <w:b/>
      <w:bCs/>
      <w:i w:val="0"/>
      <w:iCs w:val="0"/>
      <w:u w:val="none"/>
      <w:strike w:val="0"/>
      <w:smallCaps w:val="0"/>
      <w:sz w:val="19"/>
      <w:szCs w:val="19"/>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266" w:lineRule="exact"/>
    </w:pPr>
    <w:rPr>
      <w:b/>
      <w:bCs/>
      <w:i w:val="0"/>
      <w:iCs w:val="0"/>
      <w:u w:val="none"/>
      <w:strike w:val="0"/>
      <w:smallCaps w:val="0"/>
      <w:sz w:val="23"/>
      <w:szCs w:val="23"/>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line="184"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spacing w:after="120" w:line="184" w:lineRule="exact"/>
    </w:pPr>
    <w:rPr>
      <w:b w:val="0"/>
      <w:bCs w:val="0"/>
      <w:i/>
      <w:iCs/>
      <w:u w:val="none"/>
      <w:strike w:val="0"/>
      <w:smallCaps w:val="0"/>
      <w:sz w:val="26"/>
      <w:szCs w:val="26"/>
      <w:rFonts w:ascii="Times New Roman" w:eastAsia="Times New Roman" w:hAnsi="Times New Roman" w:cs="Times New Roman"/>
    </w:rPr>
  </w:style>
  <w:style w:type="paragraph" w:customStyle="1" w:styleId="Style14">
    <w:name w:val="Основной текст (6)"/>
    <w:basedOn w:val="Normal"/>
    <w:link w:val="CharStyle15"/>
    <w:pPr>
      <w:widowControl w:val="0"/>
      <w:shd w:val="clear" w:color="auto" w:fill="FFFFFF"/>
      <w:jc w:val="both"/>
      <w:spacing w:before="120" w:after="360" w:line="0" w:lineRule="exact"/>
    </w:pPr>
    <w:rPr>
      <w:b w:val="0"/>
      <w:bCs w:val="0"/>
      <w:i/>
      <w:iCs/>
      <w:u w:val="none"/>
      <w:strike w:val="0"/>
      <w:smallCaps w:val="0"/>
      <w:sz w:val="20"/>
      <w:szCs w:val="20"/>
      <w:rFonts w:ascii="Times New Roman" w:eastAsia="Times New Roman" w:hAnsi="Times New Roman" w:cs="Times New Roman"/>
      <w:spacing w:val="-10"/>
    </w:rPr>
  </w:style>
  <w:style w:type="paragraph" w:customStyle="1" w:styleId="Style19">
    <w:name w:val="Основной текст (7)"/>
    <w:basedOn w:val="Normal"/>
    <w:link w:val="CharStyle20"/>
    <w:pPr>
      <w:widowControl w:val="0"/>
      <w:shd w:val="clear" w:color="auto" w:fill="FFFFFF"/>
      <w:jc w:val="both"/>
      <w:spacing w:before="36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2">
    <w:name w:val="Основной текст (8)"/>
    <w:basedOn w:val="Normal"/>
    <w:link w:val="CharStyle23"/>
    <w:pPr>
      <w:widowControl w:val="0"/>
      <w:shd w:val="clear" w:color="auto" w:fill="FFFFFF"/>
      <w:spacing w:line="342" w:lineRule="exact"/>
    </w:pPr>
    <w:rPr>
      <w:b/>
      <w:bCs/>
      <w:i w:val="0"/>
      <w:iCs w:val="0"/>
      <w:u w:val="none"/>
      <w:strike w:val="0"/>
      <w:smallCaps w:val="0"/>
      <w:sz w:val="26"/>
      <w:szCs w:val="26"/>
      <w:rFonts w:ascii="Times New Roman" w:eastAsia="Times New Roman" w:hAnsi="Times New Roman" w:cs="Times New Roman"/>
    </w:rPr>
  </w:style>
  <w:style w:type="paragraph" w:customStyle="1" w:styleId="Style25">
    <w:name w:val="Основной текст"/>
    <w:basedOn w:val="Normal"/>
    <w:link w:val="CharStyle26"/>
    <w:pPr>
      <w:widowControl w:val="0"/>
      <w:shd w:val="clear" w:color="auto" w:fill="FFFFFF"/>
      <w:spacing w:after="300" w:line="31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9">
    <w:name w:val="Заголовок №1"/>
    <w:basedOn w:val="Normal"/>
    <w:link w:val="CharStyle30"/>
    <w:pPr>
      <w:widowControl w:val="0"/>
      <w:shd w:val="clear" w:color="auto" w:fill="FFFFFF"/>
      <w:jc w:val="center"/>
      <w:outlineLvl w:val="0"/>
      <w:spacing w:before="600" w:after="3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2">
    <w:name w:val="Подпись к таблице"/>
    <w:basedOn w:val="Normal"/>
    <w:link w:val="CharStyle33"/>
    <w:pPr>
      <w:widowControl w:val="0"/>
      <w:shd w:val="clear" w:color="auto" w:fill="FFFFFF"/>
      <w:jc w:val="right"/>
      <w:spacing w:line="0" w:lineRule="exact"/>
    </w:pPr>
    <w:rPr>
      <w:b w:val="0"/>
      <w:bCs w:val="0"/>
      <w:i w:val="0"/>
      <w:iCs w:val="0"/>
      <w:u w:val="none"/>
      <w:strike w:val="0"/>
      <w:smallCaps w:val="0"/>
      <w:sz w:val="19"/>
      <w:szCs w:val="19"/>
    </w:rPr>
  </w:style>
  <w:style w:type="paragraph" w:customStyle="1" w:styleId="Style34">
    <w:name w:val="Подпись к таблице (2)"/>
    <w:basedOn w:val="Normal"/>
    <w:link w:val="CharStyle35"/>
    <w:pPr>
      <w:widowControl w:val="0"/>
      <w:shd w:val="clear" w:color="auto" w:fill="FFFFFF"/>
      <w:jc w:val="right"/>
      <w:spacing w:line="180" w:lineRule="exact"/>
    </w:pPr>
    <w:rPr>
      <w:b w:val="0"/>
      <w:bCs w:val="0"/>
      <w:i w:val="0"/>
      <w:iCs w:val="0"/>
      <w:u w:val="none"/>
      <w:strike w:val="0"/>
      <w:smallCaps w:val="0"/>
      <w:sz w:val="17"/>
      <w:szCs w:val="17"/>
      <w:rFonts w:ascii="Candara" w:eastAsia="Candara" w:hAnsi="Candara" w:cs="Candara"/>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