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195" w:after="234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58" w:line="252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Волгоградской области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116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7-я Гвардейская, д. 12, Волгоград, 400005 тел. (8442) 24-22-65, факс (8442) 24-22-76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"mailto:to34@fas.gov.ru"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to34@fas.gov.ru</w:t>
      </w:r>
      <w:r>
        <w:fldChar w:fldCharType="end"/>
      </w:r>
    </w:p>
    <w:p>
      <w:pPr>
        <w:pStyle w:val="Style7"/>
        <w:widowControl w:val="0"/>
        <w:keepNext/>
        <w:keepLines/>
        <w:shd w:val="clear" w:color="auto" w:fill="auto"/>
        <w:bidi w:val="0"/>
        <w:jc w:val="left"/>
        <w:spacing w:before="0" w:after="159" w:line="360" w:lineRule="exact"/>
        <w:ind w:left="20" w:right="0" w:firstLine="0"/>
      </w:pPr>
      <w:bookmarkStart w:id="0" w:name="bookmark0"/>
      <w:r>
        <w:rPr>
          <w:rStyle w:val="CharStyle9"/>
          <w:i/>
          <w:iCs/>
        </w:rPr>
        <w:t>Н.0&amp;Я641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^</w:t>
      </w:r>
      <w:r>
        <w:rPr>
          <w:rStyle w:val="CharStyle9"/>
          <w:i/>
          <w:iCs/>
        </w:rPr>
        <w:t>об</w:t>
      </w:r>
      <w:r>
        <w:rPr>
          <w:rStyle w:val="CharStyle9"/>
          <w:lang w:val="en-US" w:eastAsia="en-US" w:bidi="en-US"/>
          <w:i/>
          <w:iCs/>
        </w:rPr>
        <w:t>-ajpot</w:t>
      </w:r>
      <w:bookmarkEnd w:id="0"/>
    </w:p>
    <w:p>
      <w:pPr>
        <w:pStyle w:val="Style10"/>
        <w:tabs>
          <w:tab w:leader="none" w:pos="2151" w:val="right"/>
        </w:tabs>
        <w:widowControl w:val="0"/>
        <w:keepNext w:val="0"/>
        <w:keepLines w:val="0"/>
        <w:shd w:val="clear" w:color="auto" w:fill="auto"/>
        <w:bidi w:val="0"/>
        <w:spacing w:before="0" w:after="0" w:line="20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  <w:tab/>
        <w:t>от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Заявитель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240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ФБУ Государственный региональный центр стандартизации, метрологии и испытаний в Волгоградской области» ул. Бурейская, д. 6, г. Волгоград, 400081 </w:t>
      </w:r>
      <w:r>
        <w:fldChar w:fldCharType="begin"/>
      </w:r>
      <w:r>
        <w:rPr>
          <w:color w:val="000000"/>
        </w:rPr>
        <w:instrText> HYPERLINK "mailto:yurist@volgacsm.ru"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yurist@volgacsm.ru</w:t>
      </w:r>
      <w:r>
        <w:fldChar w:fldCharType="end"/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Государственное бюджетное учреждение здравоохранения «Михайловская городская детская больница»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170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888" w:left="970" w:right="1172" w:bottom="917" w:header="0" w:footer="3" w:gutter="0"/>
          <w:rtlGutter w:val="0"/>
          <w:cols w:num="2" w:space="1332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ул. Леваневского, д. 1. г. Михайловка, 400002 </w:t>
      </w:r>
      <w:r>
        <w:fldChar w:fldCharType="begin"/>
      </w:r>
      <w:r>
        <w:rPr>
          <w:rStyle w:val="CharStyle16"/>
        </w:rPr>
        <w:instrText> HYPERLINK "mailto:ingdb@mail.ru" </w:instrText>
      </w:r>
      <w:r>
        <w:fldChar w:fldCharType="separate"/>
      </w:r>
      <w:r>
        <w:rPr>
          <w:rStyle w:val="Hyperlink"/>
        </w:rPr>
        <w:t>ingdb@mail.ru</w:t>
      </w:r>
      <w:r>
        <w:fldChar w:fldCharType="end"/>
      </w:r>
    </w:p>
    <w:p>
      <w:pPr>
        <w:widowControl w:val="0"/>
        <w:spacing w:before="31" w:after="31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9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Уполномоченный орган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243"/>
        <w:ind w:left="4980" w:right="18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Комитет по регулированию контрактной системы в сфере закупок Волгоградской области ул. Новороссийская, д. 15, г. Волгоград, 400066 </w:t>
      </w:r>
      <w:r>
        <w:fldChar w:fldCharType="begin"/>
      </w:r>
      <w:r>
        <w:rPr>
          <w:color w:val="000000"/>
        </w:rPr>
        <w:instrText> HYPERLINK "mailto:goszakaz@volganet.ru"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goszakaz@volganet.ru</w:t>
      </w:r>
      <w:r>
        <w:fldChar w:fldCharType="end"/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 w:line="295" w:lineRule="exact"/>
        <w:ind w:left="49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Электронная площадка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 w:line="295" w:lineRule="exact"/>
        <w:ind w:left="49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ЭТИ «Национальная электронная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 w:line="295" w:lineRule="exact"/>
        <w:ind w:left="49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площадка»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 w:line="295" w:lineRule="exact"/>
        <w:ind w:left="49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ул. Тестовская, д. 10,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 w:line="295" w:lineRule="exact"/>
        <w:ind w:left="49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г. Москва, 123112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537" w:line="295" w:lineRule="exact"/>
        <w:ind w:left="4980" w:right="0" w:firstLine="0"/>
      </w:pPr>
      <w:r>
        <w:fldChar w:fldCharType="begin"/>
      </w:r>
      <w:r>
        <w:rPr>
          <w:color w:val="000000"/>
        </w:rPr>
        <w:instrText> HYPERLINK "mailto:auditors@etpz.ru"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auditors@etpz.ru</w:t>
      </w:r>
      <w:r>
        <w:fldChar w:fldCharType="end"/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center"/>
        <w:spacing w:before="0" w:after="287"/>
        <w:ind w:left="0" w:right="3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по делу № 17-06/07-147</w:t>
      </w:r>
    </w:p>
    <w:p>
      <w:pPr>
        <w:pStyle w:val="Style14"/>
        <w:tabs>
          <w:tab w:leader="none" w:pos="7951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57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04 мая 2017 года</w:t>
        <w:tab/>
        <w:t>г. Волгоград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Управления Федеральной антимонопольной службы по Волгоградской области (далее - Управление) по контролю за соблюдением законодательства о контрактной системе в составе: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Моисеева С.В. - председателя Комиссии, заместителя начальника отдела контроля за соблюдением законодательства о контрактной системе;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Субботина А.А. - члена Комиссии, старшего государственного инспектора отдела контроля за соблюдением законодательства о контрактной системе;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Кострюковой И.Ю. - члена Комиссии, ведущего специалиста-эксперта отдела контроля за соблюдением законодательства о контрактной системе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8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 участием: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80" w:firstLine="8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Хаустова А.В. - представителя ФБУ Государственный региональный центр стандартизации, метрологии и испытаний в Волгоградской области» по доверенности от 02.05.2017 № 10/15-961;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80" w:firstLine="8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Осадчей Н.В. - представителя ФБУ Государственный региональный центр стандартизации, метрологии и испытаний в Волгоградской области» по доверенности от 25.01.2017 № 10/15-147;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80" w:firstLine="8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Тынянкиной А. А. - представителя Комитета по регулированию контра </w:t>
      </w:r>
      <w:r>
        <w:rPr>
          <w:rStyle w:val="CharStyle17"/>
        </w:rPr>
        <w:t>1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сгной системы в сфере закупок Волгоградской области по доверенности от</w:t>
      </w:r>
    </w:p>
    <w:p>
      <w:pPr>
        <w:pStyle w:val="Style14"/>
        <w:numPr>
          <w:ilvl w:val="0"/>
          <w:numId w:val="1"/>
        </w:numPr>
        <w:tabs>
          <w:tab w:leader="none" w:pos="127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№ 4,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80" w:firstLine="8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рассмотрев материалы дела № 17-06/07-147, возбужденного по жалобе ФБУ Государственный региональный центр стандартизации, метрологии и испытаний в Волгоградской области» на действия аукционной комиссии при проведении электронного аукциона «Проведение поверки СИМН и контроля метрологических параметров аппаратов медицинского назначения» (номер извещения 01292000053 17000511),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00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УСТАНОВИЛА: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80" w:firstLine="8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Управление Федеральной Антимонопольной Службы по Волгоградской области 26.04.2017 года вх. эл. почта № 3908 поступила жалоба ФБУ Государственный региональный центр стандартизации, метрологии и испытаний в Волгоградской области» на действия единой комиссии при проведении электронного аукциона (номер извещения 0129200005317000511).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8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доводам жалобы, заявителем обжалуются действия аукционной комиссии при проведении электронного аукциона (номер извещения 0129200005317000511).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8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В своей жалобе заявитель указывает, что аукционная комиссия неправомерно признала победителем аукциона (номер извещения 0129200005317000511) ОАО «Медтехника». По мнению заявителя, заявка победителя не соответствует требованиям Федерального закона от 05.04.2013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44- ФЗ «О контрактной системе в сфере закупок товаров, работ, услуг для обеспечения государстве иных и муниципальных нужд» (далее - Закон о контрактной системе) и положений аукционной документации.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8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 рассмотрении жалобы представитель Комитета по регулированию контрактной системы в сфере закупок Волгоградской области (далее - Уполномоченный орган) возражал против заявленных требований, в удовлетворении жалобы просил отказать.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8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Ознакомившись с представленными документами, и проведя внеплановую проверку в соответствии с ч. 15 ст. 99 Закона о контрактной системе, Комиссия Управления пришла к следующим выводам.</w:t>
      </w:r>
    </w:p>
    <w:p>
      <w:pPr>
        <w:pStyle w:val="Style14"/>
        <w:tabs>
          <w:tab w:leader="none" w:pos="2680" w:val="right"/>
          <w:tab w:leader="none" w:pos="9358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8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04.04.2017 г. на официальном сайте Единой информационной системы было размещено извещение о проведении электронного аукциона «Проведение поверки СИМН и контроля метрологических параметров аппаратов медицинского назначения»</w:t>
        <w:tab/>
        <w:t>(номер</w:t>
        <w:tab/>
        <w:t>извещения 0129200005317000511), с начальной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(максимальной) ценой контракта 256 601,38 рублей.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8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участие в аукционе поступило две заявки, признанные аукционной комиссией соответствующими требованиям аукционной документации.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8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подпункту 2 пункта 25 «Информационная карта электронного аукциона» вторая часть заявки на участие в электронном аукционе должна содержать следующие документы и сведения, в том числе копия аттестата аккредитации на поверку средств измерений, выданного национальным органом по аккредитации в установленном Федеральным законом от 28.12.2013 № 412-ФЗ «Об аккредитации в национальной системе аккредитации» порядке, в области аккредитации, позволяющей проведение поверки СИ, предусмотренных разделом 3 «Техническое задание» документации.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40" w:right="20" w:firstLine="8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позиции 7 таблицы пункта 5 Раздела 3 «Техническое задание» указано, что участник аукциона должен иметь аттестат аккредитации на поверку средств измерений - линзы для подбора очков, наборы НС.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40" w:right="20" w:firstLine="8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 рассмотрении представленных материалов Комиссия Управления установила, что область аккредитации ОАО «Медтехника» не содержит средств измерений, поверка которых является объектом данной закупки, а именно линз для подбора очков.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40" w:right="20" w:firstLine="8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Следовательно, аукционная комиссия неправомерно признало заявку ОАО «Медтехника» победителем аукциона (номер извещения 0129200005317000511).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40" w:right="20" w:firstLine="8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пункту 2 части 6 статьи 69 Закона о контрактной системе заявка на участие в электронном аукционе признается не соответствующей требованиям, установленным документацией о таком аукционе, в случае, в том числе несоответствия участника такого аукциона требованиям, установленным в соответствии с частью 1, частями 1.1, 2 и 2.1 (при наличии таких требований) статьи 31 настоящего Федерального закона.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4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аукционной комиссией нарушен пункт 2 части 6 статьи 69 Закона о контрактной системе.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4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Руководствуясь главой 6 Федерального закона от 05.04.2013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44-ФЗ «О контрактной системе в сфере закупок товаров, работ, услуг для обеспечения государственных и муниципальных нужд», Комиссия Управления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center"/>
        <w:spacing w:before="0" w:after="0" w:line="240" w:lineRule="exact"/>
        <w:ind w:left="30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РЕШИЛА</w:t>
      </w:r>
    </w:p>
    <w:p>
      <w:pPr>
        <w:pStyle w:val="Style14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8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Признать жалобу ФБУ Г осударственный региональный центр стандартизации, метрологии и испытаний в Волгоградской области» на действия аукционной комиссии при проведении электронного аукциона (номер извещения 0129200005317000511) обоснованной.</w:t>
      </w:r>
    </w:p>
    <w:p>
      <w:pPr>
        <w:pStyle w:val="Style14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8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Аукционную комиссию признать нарушавшей п. 2 ч. 6 ст. 69 Федерального закона от 05.04.2013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14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8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Заказчику, Аукционной комиссии, Уполномоченному органу, Оператору выдать предписание для устранения данного нарушения.</w:t>
      </w:r>
    </w:p>
    <w:p>
      <w:pPr>
        <w:pStyle w:val="Style14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287"/>
        <w:ind w:left="40" w:right="20" w:firstLine="8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Передать материалы дела уполномоченному должностному лицу для рассмотрения вопроса о возбуждении адмиминстративно™ 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т№тта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-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304" w:line="240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Председатель Комиссии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40" w:right="0" w:firstLine="0"/>
        <w:sectPr>
          <w:type w:val="continuous"/>
          <w:pgSz w:w="11906" w:h="16838"/>
          <w:pgMar w:top="1027" w:left="983" w:right="983" w:bottom="1494" w:header="0" w:footer="3" w:gutter="529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Члены Комиссии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189" w:line="252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58" w:line="252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Волгоградской области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10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7-я Гвардейская, д. 12, Волгоград, 400005 тел. (8442) 24-22-65, факс (8442) 24-22-76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c-mail; </w:t>
      </w:r>
      <w:r>
        <w:fldChar w:fldCharType="begin"/>
      </w:r>
      <w:r>
        <w:rPr>
          <w:color w:val="000000"/>
        </w:rPr>
        <w:instrText> HYPERLINK "mailto:to34@fas.gov.ru"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to34@fas.gov.ru</w:t>
      </w:r>
      <w:r>
        <w:fldChar w:fldCharType="end"/>
      </w:r>
    </w:p>
    <w:p>
      <w:pPr>
        <w:pStyle w:val="Style18"/>
        <w:widowControl w:val="0"/>
        <w:keepNext/>
        <w:keepLines/>
        <w:shd w:val="clear" w:color="auto" w:fill="auto"/>
        <w:bidi w:val="0"/>
        <w:jc w:val="left"/>
        <w:spacing w:before="0" w:after="159" w:line="380" w:lineRule="exact"/>
        <w:ind w:left="40" w:right="0" w:firstLine="0"/>
      </w:pPr>
      <w:bookmarkStart w:id="1" w:name="bookmark1"/>
      <w:r>
        <w:rPr>
          <w:rStyle w:val="CharStyle20"/>
          <w:i/>
          <w:iCs/>
        </w:rPr>
        <w:t>М. 05'.ШРЯ-</w:t>
      </w:r>
      <w:r>
        <w:rPr>
          <w:rStyle w:val="CharStyle21"/>
          <w:i w:val="0"/>
          <w:iCs w:val="0"/>
        </w:rPr>
        <w:t xml:space="preserve"> № </w:t>
      </w:r>
      <w:r>
        <w:rPr>
          <w:rStyle w:val="CharStyle20"/>
          <w:i/>
          <w:iCs/>
        </w:rPr>
        <w:t>М-Н(ХШ</w:t>
      </w:r>
      <w:bookmarkEnd w:id="1"/>
    </w:p>
    <w:p>
      <w:pPr>
        <w:pStyle w:val="Style10"/>
        <w:tabs>
          <w:tab w:leader="none" w:pos="2078" w:val="center"/>
        </w:tabs>
        <w:widowControl w:val="0"/>
        <w:keepNext w:val="0"/>
        <w:keepLines w:val="0"/>
        <w:shd w:val="clear" w:color="auto" w:fill="auto"/>
        <w:bidi w:val="0"/>
        <w:spacing w:before="0" w:after="0" w:line="20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  <w:tab/>
        <w:t>от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Заявитель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243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ФБУ Государственный региональный центр стандартизации, метрологии и испытаний в Волгоградской области» ул. Бурейская, д. 6, г. Волгоград, 400081 </w:t>
      </w:r>
      <w:r>
        <w:fldChar w:fldCharType="begin"/>
      </w:r>
      <w:r>
        <w:rPr>
          <w:color w:val="000000"/>
        </w:rPr>
        <w:instrText> HYPERLINK "mailto:yurist@volgacsm.ru"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yurist@volgacsm.ru</w:t>
      </w:r>
      <w:r>
        <w:fldChar w:fldCharType="end"/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 w:line="295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 w:line="295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Государственное бюджетное учреждение здравоохранения «Михайловская городская детская больница»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1720" w:firstLine="0"/>
        <w:sectPr>
          <w:type w:val="continuous"/>
          <w:pgSz w:w="11906" w:h="16838"/>
          <w:pgMar w:top="908" w:left="968" w:right="1166" w:bottom="912" w:header="0" w:footer="3" w:gutter="0"/>
          <w:rtlGutter w:val="0"/>
          <w:cols w:num="2" w:space="131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ул. Леваневского, д. 1, г. Михайловка, 400002 </w:t>
      </w:r>
      <w:r>
        <w:fldChar w:fldCharType="begin"/>
      </w:r>
      <w:r>
        <w:rPr>
          <w:rStyle w:val="CharStyle16"/>
        </w:rPr>
        <w:instrText> HYPERLINK "mailto:mgdb@mail.ru" </w:instrText>
      </w:r>
      <w:r>
        <w:fldChar w:fldCharType="separate"/>
      </w:r>
      <w:r>
        <w:rPr>
          <w:rStyle w:val="Hyperlink"/>
        </w:rPr>
        <w:t>mgdb@mail.ru</w:t>
      </w:r>
      <w:r>
        <w:fldChar w:fldCharType="end"/>
      </w:r>
    </w:p>
    <w:p>
      <w:pPr>
        <w:widowControl w:val="0"/>
        <w:spacing w:before="35" w:after="35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9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Уполномоченный орган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240"/>
        <w:ind w:left="4980" w:right="16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Комитет по регулированию контрактной системы в сфере закупок Волгоградской области ул. Новороссийская, д. 15, г. Волгоград, 400066 </w:t>
      </w:r>
      <w:r>
        <w:fldChar w:fldCharType="begin"/>
      </w:r>
      <w:r>
        <w:rPr>
          <w:color w:val="000000"/>
        </w:rPr>
        <w:instrText> HYPERLINK "mailto:goszakaz@volganet.ru"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goszakaz@volganet.ru</w:t>
      </w:r>
      <w:r>
        <w:fldChar w:fldCharType="end"/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9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Электронная площадка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9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ЭТП «Национальная электронная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9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площадка»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9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ул. Тестовская, д. 10,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9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г. Москва, 123112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240"/>
        <w:ind w:left="4980" w:right="0" w:firstLine="0"/>
      </w:pPr>
      <w:r>
        <w:fldChar w:fldCharType="begin"/>
      </w:r>
      <w:r>
        <w:rPr>
          <w:color w:val="000000"/>
        </w:rPr>
        <w:instrText> HYPERLINK "mailto:auditors@etpz.ru"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auditors@etpz.ru</w:t>
      </w:r>
      <w:r>
        <w:fldChar w:fldCharType="end"/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center"/>
        <w:spacing w:before="0" w:after="0"/>
        <w:ind w:left="0" w:right="3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ПРЕДПИСАНИЕ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center"/>
        <w:spacing w:before="0" w:after="0"/>
        <w:ind w:left="0" w:right="3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об устранении нарушения законодательства РФ о контрактной системе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center"/>
        <w:spacing w:before="0" w:after="287"/>
        <w:ind w:left="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по делу № 17-06/07-147</w:t>
      </w:r>
    </w:p>
    <w:p>
      <w:pPr>
        <w:pStyle w:val="Style14"/>
        <w:tabs>
          <w:tab w:leader="none" w:pos="7931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63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04 мая 2017 года</w:t>
        <w:tab/>
        <w:t>г. Волгоград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Управления Федеральной антимонопольной службы по Волгоградской области (далее — Управление) по контролю за соблюдением законодательства о контрактной системе в составе: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Моисеева С.В. - председателя Комиссии, заместителя начальника отдела контроля за соблюдением законодательства о контрактной системе;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Субботина А.А. - члена Комиссии, старшего государственного инспектора отдела контроля за соблюдением законодательства о контрактной системе;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Кострюковой И.Ю. — члена Комиссии, ведущего специалиста-эксперта отдела контроля за соблюдением законодательства о контрактной системе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0" w:firstLine="8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 участием: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60" w:firstLine="8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Хаустова А.В. - представителя ФБУ Государственный региональный центр стандартизации, метрологии и испытаний в Волгоградской области» по доверенности от 02.05.2017 № 10/15-961;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60" w:firstLine="8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Осадчей Н.В. - представителя ФБУ Государственный региональный центр стандартизации, метрологии и испытаний в Волгоградской области» по доверенности от 25.01.2017 № 10/15-147;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60" w:firstLine="8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Тынянкиной А. А. - представителя Комитета по регулированию контрактной системы в сфере закупок Волгоградской области по доверенности от</w:t>
      </w:r>
    </w:p>
    <w:p>
      <w:pPr>
        <w:pStyle w:val="Style14"/>
        <w:numPr>
          <w:ilvl w:val="0"/>
          <w:numId w:val="5"/>
        </w:numPr>
        <w:tabs>
          <w:tab w:leader="none" w:pos="1303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№ 4,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0" w:right="60" w:firstLine="8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рассмотрев материалы дела № 17-06/07-147, возбужденного по жалобе ФБУ Государственный региональный центр стандартизации, метрологии и испытаний в Волгоградской области» на действия аукционной комиссии при проведении электронного аукциона «Проведение поверки СИМН и контроля метрологических параметров аппаратов медицинского назначения» (номер извещения 0129200005317000511).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243"/>
        <w:ind w:left="39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ПРЕДПИСЫВАЕТ: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57" w:line="295" w:lineRule="exact"/>
        <w:ind w:left="40" w:right="20" w:firstLine="8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Заказчику, Уполномоченному органу, Аукционной комиссии, Оператору электронной площадки прекратить нарушение п. 2 ч. 6 ст. 69 Федерального закона от 05.04.2013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44-ФЗ «О контрактной системе в сфере закупок товаров, работ, услуг для обеспечения государственных и муниципальных нужд», а именно:</w:t>
      </w:r>
    </w:p>
    <w:p>
      <w:pPr>
        <w:pStyle w:val="Style14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63"/>
        <w:ind w:left="4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Уполномоченному органу, Заказчику, Аукционной комиссии отменить Протокол подведения итогов (далее - Протокол) и назначить новую дату рассмотрения вторых частей заявок на участие в Аукционе. При этом дата рассмотрения вторых частей заявок на участие в Аукционе должна быть назначена не ранее чем через 6 рабочих дней со дня отмены Протокола.</w:t>
      </w:r>
    </w:p>
    <w:p>
      <w:pPr>
        <w:pStyle w:val="Style14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60" w:line="295" w:lineRule="exact"/>
        <w:ind w:left="4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Оператору электронной площадки не позднее 1 рабочего дня со дня исполнения пункта 1 настоящего предписания уведомить участников закупки, подавших заявки на участие в Аукционе, в том числе Заявителя, об отмене Протокола, о новой дате рассмотрения вторых частей заявок на участие в Аукционе, а также о необходимости наличия на счетах для проведения операций по обеспечению участия в открытых аукционах в электронной форме,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 если в их отношении блокирование прекращено.</w:t>
      </w:r>
    </w:p>
    <w:p>
      <w:pPr>
        <w:pStyle w:val="Style14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57" w:line="295" w:lineRule="exact"/>
        <w:ind w:left="4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Оператору электронной площадки осуществить блокирование операций по счетам для проведения операций по обеспечению участия в открытых аукционах в электронной форме, открытых участникам закупки,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уведомления, указанного в пункте 2 настоящего предписания.</w:t>
      </w:r>
    </w:p>
    <w:p>
      <w:pPr>
        <w:pStyle w:val="Style14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Аукционной комиссии рассмотреть вторые части заявок, поданных участниками закупки, в том числе Заявителем, в соответствии с требованиями законодательства Российской Федерации о контрактной системе в сфере закупок и с учетом решения от 04.05.2017 по делу №17-07/06-147.</w:t>
      </w:r>
    </w:p>
    <w:p>
      <w:pPr>
        <w:pStyle w:val="Style14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60" w:line="295" w:lineRule="exact"/>
        <w:ind w:left="20" w:right="20" w:firstLine="6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Уполномоченному органу, Заказчику, Аукционной комиссии,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размещении заказов и с учетом решения от 04.05.2017 по делу № 17-07/06-147.</w:t>
      </w:r>
    </w:p>
    <w:p>
      <w:pPr>
        <w:pStyle w:val="Style14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57" w:line="295" w:lineRule="exact"/>
        <w:ind w:left="20" w:right="20" w:firstLine="6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Уполномоченному органу, Заказчику, Аукционной комиссии, Оператору электронной площадки в срок до 29 мая 2017 года исполнить настоящее предписание.</w:t>
      </w:r>
    </w:p>
    <w:p>
      <w:pPr>
        <w:pStyle w:val="Style14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243"/>
        <w:ind w:left="20" w:right="20" w:firstLine="6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Доказательства исполнения предписания представить в Волгоградское УФАС России не позднее 30 мая 2017 года.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584" w:line="295" w:lineRule="exact"/>
        <w:ind w:left="20" w:right="20" w:firstLine="8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части 7.1 настоящей статьи, - влечет наложение административного штрафа на должностных лиц в размере пятидесяти тысяч рублей; на юридических лиц - пятисот тысяч рублей (ч. 7 ст. 19.5 КоАП РФ).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304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Председатель Комиссии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Члены Комиссии</w:t>
      </w:r>
    </w:p>
    <w:sectPr>
      <w:type w:val="continuous"/>
      <w:pgSz w:w="11906" w:h="16838"/>
      <w:pgMar w:top="1045" w:left="982" w:right="982" w:bottom="1491" w:header="0" w:footer="3" w:gutter="540"/>
      <w:rtlGutter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2016"/>
      <w:numFmt w:val="decimal"/>
      <w:lvlText w:val="11.01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2016"/>
      <w:numFmt w:val="decimal"/>
      <w:lvlText w:val="11.01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6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6">
    <w:name w:val="Основной текст (3)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8">
    <w:name w:val="Заголовок №2_"/>
    <w:basedOn w:val="DefaultParagraphFont"/>
    <w:link w:val="Style7"/>
    <w:rPr>
      <w:b w:val="0"/>
      <w:bCs w:val="0"/>
      <w:i/>
      <w:iCs/>
      <w:u w:val="none"/>
      <w:strike w:val="0"/>
      <w:smallCaps w:val="0"/>
      <w:sz w:val="36"/>
      <w:szCs w:val="36"/>
      <w:rFonts w:ascii="Times New Roman" w:eastAsia="Times New Roman" w:hAnsi="Times New Roman" w:cs="Times New Roman"/>
    </w:rPr>
  </w:style>
  <w:style w:type="character" w:customStyle="1" w:styleId="CharStyle9">
    <w:name w:val="Заголовок №2"/>
    <w:basedOn w:val="CharStyle8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1">
    <w:name w:val="Основной текст (4)_"/>
    <w:basedOn w:val="DefaultParagraphFont"/>
    <w:link w:val="Style10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3">
    <w:name w:val="Основной текст (5)_"/>
    <w:basedOn w:val="DefaultParagraphFont"/>
    <w:link w:val="Style12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5">
    <w:name w:val="Основной текст_"/>
    <w:basedOn w:val="DefaultParagraphFont"/>
    <w:link w:val="Style14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6">
    <w:name w:val="Основной текст"/>
    <w:basedOn w:val="CharStyle15"/>
    <w:rPr>
      <w:lang w:val="en-US" w:eastAsia="en-US" w:bidi="en-US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17">
    <w:name w:val="Основной текст + 8,5 pt"/>
    <w:basedOn w:val="CharStyle15"/>
    <w:rPr>
      <w:lang w:val="ru-RU" w:eastAsia="ru-RU" w:bidi="ru-RU"/>
      <w:sz w:val="17"/>
      <w:szCs w:val="17"/>
      <w:w w:val="100"/>
      <w:spacing w:val="0"/>
      <w:color w:val="000000"/>
      <w:position w:val="0"/>
    </w:rPr>
  </w:style>
  <w:style w:type="character" w:customStyle="1" w:styleId="CharStyle19">
    <w:name w:val="Заголовок №1_"/>
    <w:basedOn w:val="DefaultParagraphFont"/>
    <w:link w:val="Style18"/>
    <w:rPr>
      <w:b w:val="0"/>
      <w:bCs w:val="0"/>
      <w:i/>
      <w:iCs/>
      <w:u w:val="none"/>
      <w:strike w:val="0"/>
      <w:smallCaps w:val="0"/>
      <w:sz w:val="38"/>
      <w:szCs w:val="38"/>
      <w:rFonts w:ascii="Calibri" w:eastAsia="Calibri" w:hAnsi="Calibri" w:cs="Calibri"/>
    </w:rPr>
  </w:style>
  <w:style w:type="character" w:customStyle="1" w:styleId="CharStyle20">
    <w:name w:val="Заголовок №1"/>
    <w:basedOn w:val="CharStyle19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21">
    <w:name w:val="Заголовок №1 + Times New Roman,11 pt,Не курсив"/>
    <w:basedOn w:val="CharStyle19"/>
    <w:rPr>
      <w:lang w:val="ru-RU" w:eastAsia="ru-RU" w:bidi="ru-RU"/>
      <w:i/>
      <w:iCs/>
      <w:sz w:val="22"/>
      <w:szCs w:val="22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240" w:after="240" w:line="245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center"/>
      <w:spacing w:before="120" w:after="240" w:line="205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7">
    <w:name w:val="Заголовок №2"/>
    <w:basedOn w:val="Normal"/>
    <w:link w:val="CharStyle8"/>
    <w:pPr>
      <w:widowControl w:val="0"/>
      <w:shd w:val="clear" w:color="auto" w:fill="FFFFFF"/>
      <w:outlineLvl w:val="1"/>
      <w:spacing w:before="240" w:after="240" w:line="0" w:lineRule="exact"/>
    </w:pPr>
    <w:rPr>
      <w:b w:val="0"/>
      <w:bCs w:val="0"/>
      <w:i/>
      <w:iCs/>
      <w:u w:val="none"/>
      <w:strike w:val="0"/>
      <w:smallCaps w:val="0"/>
      <w:sz w:val="36"/>
      <w:szCs w:val="36"/>
      <w:rFonts w:ascii="Times New Roman" w:eastAsia="Times New Roman" w:hAnsi="Times New Roman" w:cs="Times New Roman"/>
    </w:rPr>
  </w:style>
  <w:style w:type="paragraph" w:customStyle="1" w:styleId="Style10">
    <w:name w:val="Основной текст (4)"/>
    <w:basedOn w:val="Normal"/>
    <w:link w:val="CharStyle11"/>
    <w:pPr>
      <w:widowControl w:val="0"/>
      <w:shd w:val="clear" w:color="auto" w:fill="FFFFFF"/>
      <w:jc w:val="both"/>
      <w:spacing w:before="240" w:line="0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12">
    <w:name w:val="Основной текст (5)"/>
    <w:basedOn w:val="Normal"/>
    <w:link w:val="CharStyle13"/>
    <w:pPr>
      <w:widowControl w:val="0"/>
      <w:shd w:val="clear" w:color="auto" w:fill="FFFFFF"/>
      <w:spacing w:line="299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4">
    <w:name w:val="Основной текст"/>
    <w:basedOn w:val="Normal"/>
    <w:link w:val="CharStyle15"/>
    <w:pPr>
      <w:widowControl w:val="0"/>
      <w:shd w:val="clear" w:color="auto" w:fill="FFFFFF"/>
      <w:spacing w:after="240" w:line="299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8">
    <w:name w:val="Заголовок №1"/>
    <w:basedOn w:val="Normal"/>
    <w:link w:val="CharStyle19"/>
    <w:pPr>
      <w:widowControl w:val="0"/>
      <w:shd w:val="clear" w:color="auto" w:fill="FFFFFF"/>
      <w:outlineLvl w:val="0"/>
      <w:spacing w:before="240" w:after="240" w:line="0" w:lineRule="exact"/>
    </w:pPr>
    <w:rPr>
      <w:b w:val="0"/>
      <w:bCs w:val="0"/>
      <w:i/>
      <w:iCs/>
      <w:u w:val="none"/>
      <w:strike w:val="0"/>
      <w:smallCaps w:val="0"/>
      <w:sz w:val="38"/>
      <w:szCs w:val="38"/>
      <w:rFonts w:ascii="Calibri" w:eastAsia="Calibri" w:hAnsi="Calibri" w:cs="Calibri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