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1881" w:y="4373"/>
        <w:widowControl w:val="0"/>
        <w:keepNext w:val="0"/>
        <w:keepLines w:val="0"/>
        <w:shd w:val="clear" w:color="auto" w:fill="auto"/>
        <w:bidi w:val="0"/>
        <w:jc w:val="left"/>
        <w:spacing w:before="0" w:after="0" w:line="170" w:lineRule="exact"/>
        <w:ind w:left="100" w:right="0" w:firstLine="0"/>
      </w:pPr>
      <w:r>
        <w:rPr>
          <w:rStyle w:val="CharStyle4"/>
          <w:spacing w:val="10"/>
        </w:rPr>
        <w:t>от</w:t>
      </w:r>
    </w:p>
    <w:p>
      <w:pPr>
        <w:widowControl w:val="0"/>
        <w:rPr>
          <w:sz w:val="2"/>
          <w:szCs w:val="2"/>
        </w:rPr>
      </w:pPr>
    </w:p>
    <w:p>
      <w:pPr>
        <w:pStyle w:val="Style5"/>
        <w:widowControl w:val="0"/>
        <w:keepNext w:val="0"/>
        <w:keepLines w:val="0"/>
        <w:shd w:val="clear" w:color="auto" w:fill="auto"/>
        <w:bidi w:val="0"/>
        <w:spacing w:before="55" w:after="105"/>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32" w:line="317" w:lineRule="exact"/>
        <w:ind w:left="0" w:right="0" w:firstLine="0"/>
      </w:pPr>
      <w:r>
        <w:rPr>
          <w:lang w:val="ru-RU" w:eastAsia="ru-RU" w:bidi="ru-RU"/>
          <w:w w:val="100"/>
          <w:spacing w:val="0"/>
          <w:color w:val="000000"/>
          <w:position w:val="0"/>
        </w:rPr>
        <w:t>УПРАВЛЕНИЕ Федеральной антимонопольной службы по Пензенской области</w:t>
      </w:r>
    </w:p>
    <w:p>
      <w:pPr>
        <w:pStyle w:val="Style7"/>
        <w:widowControl w:val="0"/>
        <w:keepNext w:val="0"/>
        <w:keepLines w:val="0"/>
        <w:shd w:val="clear" w:color="auto" w:fill="auto"/>
        <w:bidi w:val="0"/>
        <w:spacing w:before="0" w:after="590"/>
        <w:ind w:left="0" w:right="0" w:firstLine="0"/>
      </w:pPr>
      <w:r>
        <w:rPr>
          <w:lang w:val="ru-RU" w:eastAsia="ru-RU" w:bidi="ru-RU"/>
          <w:w w:val="100"/>
          <w:spacing w:val="0"/>
          <w:color w:val="000000"/>
          <w:position w:val="0"/>
        </w:rPr>
        <w:t xml:space="preserve">ул Урицкого, 127, г. Пенза, 440000 гел. (8412) 55-14-02. факс (8412) 52-03-70 </w:t>
      </w:r>
      <w:r>
        <w:rPr>
          <w:lang w:val="en-US" w:eastAsia="en-US" w:bidi="en-US"/>
          <w:w w:val="100"/>
          <w:spacing w:val="0"/>
          <w:color w:val="000000"/>
          <w:position w:val="0"/>
        </w:rPr>
        <w:t>e-mail :</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3"/>
        <w:widowControl w:val="0"/>
        <w:keepNext w:val="0"/>
        <w:keepLines w:val="0"/>
        <w:shd w:val="clear" w:color="auto" w:fill="auto"/>
        <w:bidi w:val="0"/>
        <w:jc w:val="left"/>
        <w:spacing w:before="0" w:after="0" w:line="190" w:lineRule="exact"/>
        <w:ind w:left="0" w:right="0" w:firstLine="0"/>
      </w:pPr>
      <w:r>
        <w:rPr>
          <w:lang w:val="ru-RU" w:eastAsia="ru-RU" w:bidi="ru-RU"/>
          <w:w w:val="100"/>
          <w:color w:val="000000"/>
          <w:position w:val="0"/>
        </w:rPr>
        <w:t>На №</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Заказчик:</w:t>
      </w:r>
    </w:p>
    <w:p>
      <w:pPr>
        <w:pStyle w:val="Style10"/>
        <w:widowControl w:val="0"/>
        <w:keepNext w:val="0"/>
        <w:keepLines w:val="0"/>
        <w:shd w:val="clear" w:color="auto" w:fill="auto"/>
        <w:bidi w:val="0"/>
        <w:jc w:val="left"/>
        <w:spacing w:before="0" w:after="0"/>
        <w:ind w:left="20" w:right="480" w:firstLine="0"/>
      </w:pPr>
      <w:r>
        <w:rPr>
          <w:lang w:val="ru-RU" w:eastAsia="ru-RU" w:bidi="ru-RU"/>
          <w:sz w:val="24"/>
          <w:szCs w:val="24"/>
          <w:w w:val="100"/>
          <w:spacing w:val="0"/>
          <w:color w:val="000000"/>
          <w:position w:val="0"/>
        </w:rPr>
        <w:t>Муниципальное общеобразовательное учреждение</w:t>
      </w:r>
    </w:p>
    <w:p>
      <w:pPr>
        <w:pStyle w:val="Style10"/>
        <w:widowControl w:val="0"/>
        <w:keepNext w:val="0"/>
        <w:keepLines w:val="0"/>
        <w:shd w:val="clear" w:color="auto" w:fill="auto"/>
        <w:bidi w:val="0"/>
        <w:jc w:val="left"/>
        <w:spacing w:before="0" w:after="0"/>
        <w:ind w:left="20" w:right="400" w:firstLine="0"/>
      </w:pPr>
      <w:r>
        <w:rPr>
          <w:lang w:val="ru-RU" w:eastAsia="ru-RU" w:bidi="ru-RU"/>
          <w:sz w:val="24"/>
          <w:szCs w:val="24"/>
          <w:w w:val="100"/>
          <w:spacing w:val="0"/>
          <w:color w:val="000000"/>
          <w:position w:val="0"/>
        </w:rPr>
        <w:t>средняя общеобразовательная школа с. Телегино</w:t>
      </w:r>
    </w:p>
    <w:p>
      <w:pPr>
        <w:pStyle w:val="Style10"/>
        <w:widowControl w:val="0"/>
        <w:keepNext w:val="0"/>
        <w:keepLines w:val="0"/>
        <w:shd w:val="clear" w:color="auto" w:fill="auto"/>
        <w:bidi w:val="0"/>
        <w:jc w:val="left"/>
        <w:spacing w:before="0" w:after="0" w:line="298" w:lineRule="exact"/>
        <w:ind w:left="20" w:right="400" w:firstLine="0"/>
      </w:pPr>
      <w:r>
        <w:rPr>
          <w:lang w:val="ru-RU" w:eastAsia="ru-RU" w:bidi="ru-RU"/>
          <w:sz w:val="24"/>
          <w:szCs w:val="24"/>
          <w:w w:val="100"/>
          <w:spacing w:val="0"/>
          <w:color w:val="000000"/>
          <w:position w:val="0"/>
        </w:rPr>
        <w:t>Колышлейского района Пензенской области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Школьный пер., д. 5, с. Телегино, Колышлейский район, Пензенская область, 442844</w:t>
      </w:r>
    </w:p>
    <w:p>
      <w:pPr>
        <w:pStyle w:val="Style10"/>
        <w:widowControl w:val="0"/>
        <w:keepNext w:val="0"/>
        <w:keepLines w:val="0"/>
        <w:shd w:val="clear" w:color="auto" w:fill="auto"/>
        <w:bidi w:val="0"/>
        <w:jc w:val="left"/>
        <w:spacing w:before="0" w:after="236"/>
        <w:ind w:left="20" w:right="0" w:firstLine="0"/>
      </w:pPr>
      <w:r>
        <w:fldChar w:fldCharType="begin"/>
      </w:r>
      <w:r>
        <w:rPr>
          <w:rStyle w:val="CharStyle12"/>
        </w:rPr>
        <w:instrText> HYPERLINK "mailto:telegino@vandex.ru" </w:instrText>
      </w:r>
      <w:r>
        <w:fldChar w:fldCharType="separate"/>
      </w:r>
      <w:r>
        <w:rPr>
          <w:rStyle w:val="Hyperlink"/>
        </w:rPr>
        <w:t>telegino@vandex.ru</w:t>
      </w:r>
      <w:r>
        <w:fldChar w:fldCharType="end"/>
      </w:r>
    </w:p>
    <w:p>
      <w:pPr>
        <w:pStyle w:val="Style10"/>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Заявитель:</w:t>
      </w:r>
    </w:p>
    <w:p>
      <w:pPr>
        <w:pStyle w:val="Style10"/>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Общество с ограниченной ответственностью «Перспектива» Куйбышева ул., д. 79, кв. 64, г. Самара, 443099</w:t>
      </w:r>
    </w:p>
    <w:p>
      <w:pPr>
        <w:pStyle w:val="Style10"/>
        <w:widowControl w:val="0"/>
        <w:keepNext w:val="0"/>
        <w:keepLines w:val="0"/>
        <w:shd w:val="clear" w:color="auto" w:fill="auto"/>
        <w:bidi w:val="0"/>
        <w:jc w:val="left"/>
        <w:spacing w:before="0" w:after="0" w:line="298" w:lineRule="exact"/>
        <w:ind w:left="20" w:right="0" w:firstLine="0"/>
      </w:pPr>
      <w:r>
        <w:fldChar w:fldCharType="begin"/>
      </w:r>
      <w:r>
        <w:rPr>
          <w:rStyle w:val="CharStyle12"/>
        </w:rPr>
        <w:instrText> HYPERLINK "mailto:pers-tender@mail.ru" </w:instrText>
      </w:r>
      <w:r>
        <w:fldChar w:fldCharType="separate"/>
      </w:r>
      <w:r>
        <w:rPr>
          <w:rStyle w:val="Hyperlink"/>
        </w:rPr>
        <w:t>pers-tender@mail.ru</w:t>
      </w:r>
      <w:r>
        <w:fldChar w:fldCharType="end"/>
      </w:r>
      <w:r>
        <w:rPr>
          <w:lang w:val="en-US" w:eastAsia="en-US" w:bidi="en-US"/>
          <w:sz w:val="24"/>
          <w:szCs w:val="24"/>
          <w:w w:val="100"/>
          <w:spacing w:val="0"/>
          <w:color w:val="000000"/>
          <w:position w:val="0"/>
        </w:rPr>
        <w:t>.</w:t>
      </w:r>
    </w:p>
    <w:p>
      <w:pPr>
        <w:pStyle w:val="Style10"/>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635" w:left="984" w:right="1094" w:bottom="664" w:header="0" w:footer="3" w:gutter="0"/>
          <w:rtlGutter w:val="0"/>
          <w:cols w:num="2" w:space="245"/>
          <w:noEndnote/>
          <w:docGrid w:linePitch="360"/>
        </w:sectPr>
      </w:pPr>
      <w:r>
        <w:rPr>
          <w:lang w:val="ru-RU" w:eastAsia="ru-RU" w:bidi="ru-RU"/>
          <w:sz w:val="24"/>
          <w:szCs w:val="24"/>
          <w:w w:val="100"/>
          <w:spacing w:val="0"/>
          <w:color w:val="000000"/>
          <w:position w:val="0"/>
        </w:rPr>
        <w:t>8-987-891-48-00</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98" w:lineRule="exact"/>
        <w:ind w:left="5180" w:right="0" w:firstLine="0"/>
      </w:pPr>
      <w:r>
        <w:rPr>
          <w:lang w:val="ru-RU" w:eastAsia="ru-RU" w:bidi="ru-RU"/>
          <w:sz w:val="24"/>
          <w:szCs w:val="24"/>
          <w:w w:val="100"/>
          <w:spacing w:val="0"/>
          <w:color w:val="000000"/>
          <w:position w:val="0"/>
        </w:rPr>
        <w:t>ЗАО «Сбербанк-АСТ»</w:t>
      </w:r>
    </w:p>
    <w:p>
      <w:pPr>
        <w:pStyle w:val="Style10"/>
        <w:widowControl w:val="0"/>
        <w:keepNext w:val="0"/>
        <w:keepLines w:val="0"/>
        <w:shd w:val="clear" w:color="auto" w:fill="auto"/>
        <w:bidi w:val="0"/>
        <w:jc w:val="left"/>
        <w:spacing w:before="0" w:after="0" w:line="298" w:lineRule="exact"/>
        <w:ind w:left="5180" w:right="640" w:firstLine="0"/>
      </w:pPr>
      <w:r>
        <w:rPr>
          <w:lang w:val="ru-RU" w:eastAsia="ru-RU" w:bidi="ru-RU"/>
          <w:sz w:val="24"/>
          <w:szCs w:val="24"/>
          <w:w w:val="100"/>
          <w:spacing w:val="0"/>
          <w:color w:val="000000"/>
          <w:position w:val="0"/>
        </w:rPr>
        <w:t xml:space="preserve">Большая Якиманка ул., д. 23, г. Москва, 113180 </w:t>
      </w:r>
      <w:r>
        <w:fldChar w:fldCharType="begin"/>
      </w:r>
      <w:r>
        <w:rPr>
          <w:rStyle w:val="CharStyle12"/>
        </w:rPr>
        <w:instrText> HYPERLINK "mailto:ko@sberbank-ast.ru" </w:instrText>
      </w:r>
      <w:r>
        <w:fldChar w:fldCharType="separate"/>
      </w:r>
      <w:r>
        <w:rPr>
          <w:rStyle w:val="Hyperlink"/>
        </w:rPr>
        <w:t>ko@sberbank-ast.ru</w:t>
      </w:r>
      <w:r>
        <w:fldChar w:fldCharType="end"/>
      </w:r>
    </w:p>
    <w:p>
      <w:pPr>
        <w:pStyle w:val="Style10"/>
        <w:widowControl w:val="0"/>
        <w:keepNext w:val="0"/>
        <w:keepLines w:val="0"/>
        <w:shd w:val="clear" w:color="auto" w:fill="auto"/>
        <w:bidi w:val="0"/>
        <w:jc w:val="left"/>
        <w:spacing w:before="0" w:after="1200" w:line="298" w:lineRule="exact"/>
        <w:ind w:left="5180" w:right="0" w:firstLine="0"/>
      </w:pPr>
      <w:r>
        <w:fldChar w:fldCharType="begin"/>
      </w:r>
      <w:r>
        <w:rPr>
          <w:rStyle w:val="CharStyle12"/>
        </w:rPr>
        <w:instrText> HYPERLINK "mailto:info@support.etp-ets.ru" </w:instrText>
      </w:r>
      <w:r>
        <w:fldChar w:fldCharType="separate"/>
      </w:r>
      <w:r>
        <w:rPr>
          <w:rStyle w:val="Hyperlink"/>
        </w:rPr>
        <w:t>info@support.etp-ets.ru</w:t>
      </w:r>
      <w:r>
        <w:fldChar w:fldCharType="end"/>
      </w:r>
      <w:r>
        <w:rPr>
          <w:lang w:val="en-US" w:eastAsia="en-US" w:bidi="en-US"/>
          <w:sz w:val="24"/>
          <w:szCs w:val="24"/>
          <w:w w:val="100"/>
          <w:spacing w:val="0"/>
          <w:color w:val="000000"/>
          <w:position w:val="0"/>
        </w:rPr>
        <w:t xml:space="preserve">. </w:t>
      </w:r>
      <w:r>
        <w:fldChar w:fldCharType="begin"/>
      </w:r>
      <w:r>
        <w:rPr>
          <w:rStyle w:val="CharStyle12"/>
        </w:rPr>
        <w:instrText> HYPERLINK "mailto:auditors@etpz.ru" </w:instrText>
      </w:r>
      <w:r>
        <w:fldChar w:fldCharType="separate"/>
      </w:r>
      <w:r>
        <w:rPr>
          <w:rStyle w:val="Hyperlink"/>
        </w:rPr>
        <w:t>auditors@etpz.ru</w:t>
      </w:r>
      <w:r>
        <w:fldChar w:fldCharType="end"/>
      </w:r>
    </w:p>
    <w:p>
      <w:pPr>
        <w:pStyle w:val="Style10"/>
        <w:widowControl w:val="0"/>
        <w:keepNext w:val="0"/>
        <w:keepLines w:val="0"/>
        <w:shd w:val="clear" w:color="auto" w:fill="auto"/>
        <w:bidi w:val="0"/>
        <w:jc w:val="center"/>
        <w:spacing w:before="0" w:after="469" w:line="298" w:lineRule="exact"/>
        <w:ind w:left="0" w:right="720" w:firstLine="0"/>
      </w:pPr>
      <w:r>
        <w:rPr>
          <w:lang w:val="ru-RU" w:eastAsia="ru-RU" w:bidi="ru-RU"/>
          <w:sz w:val="24"/>
          <w:szCs w:val="24"/>
          <w:w w:val="100"/>
          <w:spacing w:val="0"/>
          <w:color w:val="000000"/>
          <w:position w:val="0"/>
        </w:rPr>
        <w:t>РЕШЕНИЕ по жалобе № 5-05/83-2017</w:t>
      </w:r>
    </w:p>
    <w:p>
      <w:pPr>
        <w:pStyle w:val="Style10"/>
        <w:tabs>
          <w:tab w:leader="none" w:pos="7033" w:val="left"/>
        </w:tabs>
        <w:widowControl w:val="0"/>
        <w:keepNext w:val="0"/>
        <w:keepLines w:val="0"/>
        <w:shd w:val="clear" w:color="auto" w:fill="auto"/>
        <w:bidi w:val="0"/>
        <w:jc w:val="both"/>
        <w:spacing w:before="0" w:after="0" w:line="312" w:lineRule="exact"/>
        <w:ind w:left="20" w:right="0" w:firstLine="0"/>
      </w:pPr>
      <w:r>
        <w:rPr>
          <w:lang w:val="ru-RU" w:eastAsia="ru-RU" w:bidi="ru-RU"/>
          <w:sz w:val="24"/>
          <w:szCs w:val="24"/>
          <w:w w:val="100"/>
          <w:spacing w:val="0"/>
          <w:color w:val="000000"/>
          <w:position w:val="0"/>
        </w:rPr>
        <w:t>11 мая 2017 года</w:t>
        <w:tab/>
        <w:t>г. Пенза, ул. Урицкого, 127</w:t>
      </w:r>
    </w:p>
    <w:p>
      <w:pPr>
        <w:pStyle w:val="Style10"/>
        <w:tabs>
          <w:tab w:leader="none" w:pos="4615" w:val="center"/>
          <w:tab w:leader="none" w:pos="6912" w:val="right"/>
          <w:tab w:leader="none" w:pos="7126" w:val="left"/>
        </w:tabs>
        <w:widowControl w:val="0"/>
        <w:keepNext w:val="0"/>
        <w:keepLines w:val="0"/>
        <w:shd w:val="clear" w:color="auto" w:fill="auto"/>
        <w:bidi w:val="0"/>
        <w:jc w:val="both"/>
        <w:spacing w:before="0" w:after="0" w:line="312" w:lineRule="exact"/>
        <w:ind w:left="720" w:right="0" w:firstLine="0"/>
      </w:pPr>
      <w:r>
        <w:rPr>
          <w:lang w:val="ru-RU" w:eastAsia="ru-RU" w:bidi="ru-RU"/>
          <w:sz w:val="24"/>
          <w:szCs w:val="24"/>
          <w:w w:val="100"/>
          <w:spacing w:val="0"/>
          <w:color w:val="000000"/>
          <w:position w:val="0"/>
        </w:rPr>
        <w:t>Комиссия Пензенского</w:t>
        <w:tab/>
        <w:t>У ФАС России по</w:t>
        <w:tab/>
        <w:t>контролю</w:t>
        <w:tab/>
        <w:t>в сфере закупок (далее -</w:t>
      </w:r>
    </w:p>
    <w:p>
      <w:pPr>
        <w:pStyle w:val="Style10"/>
        <w:widowControl w:val="0"/>
        <w:keepNext w:val="0"/>
        <w:keepLines w:val="0"/>
        <w:shd w:val="clear" w:color="auto" w:fill="auto"/>
        <w:bidi w:val="0"/>
        <w:jc w:val="both"/>
        <w:spacing w:before="0" w:after="0" w:line="312" w:lineRule="exact"/>
        <w:ind w:left="20" w:right="0" w:firstLine="0"/>
      </w:pPr>
      <w:r>
        <w:rPr>
          <w:lang w:val="ru-RU" w:eastAsia="ru-RU" w:bidi="ru-RU"/>
          <w:sz w:val="24"/>
          <w:szCs w:val="24"/>
          <w:w w:val="100"/>
          <w:spacing w:val="0"/>
          <w:color w:val="000000"/>
          <w:position w:val="0"/>
        </w:rPr>
        <w:t>Комиссия Управления) в составе:</w:t>
      </w:r>
    </w:p>
    <w:p>
      <w:pPr>
        <w:pStyle w:val="Style10"/>
        <w:numPr>
          <w:ilvl w:val="0"/>
          <w:numId w:val="1"/>
        </w:numPr>
        <w:tabs>
          <w:tab w:leader="none" w:pos="3367" w:val="left"/>
          <w:tab w:leader="none" w:pos="4615" w:val="center"/>
          <w:tab w:leader="none" w:pos="7033" w:val="left"/>
        </w:tabs>
        <w:widowControl w:val="0"/>
        <w:keepNext w:val="0"/>
        <w:keepLines w:val="0"/>
        <w:shd w:val="clear" w:color="auto" w:fill="auto"/>
        <w:bidi w:val="0"/>
        <w:jc w:val="both"/>
        <w:spacing w:before="0" w:after="0" w:line="283" w:lineRule="exact"/>
        <w:ind w:left="720" w:right="0" w:firstLine="0"/>
      </w:pPr>
      <w:r>
        <w:rPr>
          <w:lang w:val="ru-RU" w:eastAsia="ru-RU" w:bidi="ru-RU"/>
          <w:sz w:val="24"/>
          <w:szCs w:val="24"/>
          <w:w w:val="100"/>
          <w:spacing w:val="0"/>
          <w:color w:val="000000"/>
          <w:position w:val="0"/>
        </w:rPr>
        <w:t xml:space="preserve"> Демидовой Е.Н.</w:t>
        <w:tab/>
        <w:t>-</w:t>
        <w:tab/>
        <w:t>заместителя руководителя</w:t>
        <w:tab/>
        <w:t>Управления, председателя</w:t>
      </w:r>
    </w:p>
    <w:p>
      <w:pPr>
        <w:pStyle w:val="Style10"/>
        <w:widowControl w:val="0"/>
        <w:keepNext w:val="0"/>
        <w:keepLines w:val="0"/>
        <w:shd w:val="clear" w:color="auto" w:fill="auto"/>
        <w:bidi w:val="0"/>
        <w:jc w:val="left"/>
        <w:spacing w:before="0" w:after="0" w:line="283" w:lineRule="exact"/>
        <w:ind w:left="1100" w:right="0" w:firstLine="0"/>
      </w:pPr>
      <w:r>
        <w:rPr>
          <w:lang w:val="ru-RU" w:eastAsia="ru-RU" w:bidi="ru-RU"/>
          <w:sz w:val="24"/>
          <w:szCs w:val="24"/>
          <w:w w:val="100"/>
          <w:spacing w:val="0"/>
          <w:color w:val="000000"/>
          <w:position w:val="0"/>
        </w:rPr>
        <w:t>Комиссии Управления,</w:t>
      </w:r>
    </w:p>
    <w:p>
      <w:pPr>
        <w:pStyle w:val="Style10"/>
        <w:numPr>
          <w:ilvl w:val="0"/>
          <w:numId w:val="1"/>
        </w:numPr>
        <w:tabs>
          <w:tab w:leader="none" w:pos="3367" w:val="left"/>
          <w:tab w:leader="none" w:pos="6912" w:val="right"/>
          <w:tab w:leader="none" w:pos="7126" w:val="left"/>
        </w:tabs>
        <w:widowControl w:val="0"/>
        <w:keepNext w:val="0"/>
        <w:keepLines w:val="0"/>
        <w:shd w:val="clear" w:color="auto" w:fill="auto"/>
        <w:bidi w:val="0"/>
        <w:jc w:val="both"/>
        <w:spacing w:before="0" w:after="0" w:line="269" w:lineRule="exact"/>
        <w:ind w:left="720" w:right="0" w:firstLine="0"/>
      </w:pPr>
      <w:r>
        <w:rPr>
          <w:lang w:val="ru-RU" w:eastAsia="ru-RU" w:bidi="ru-RU"/>
          <w:sz w:val="24"/>
          <w:szCs w:val="24"/>
          <w:w w:val="100"/>
          <w:spacing w:val="0"/>
          <w:color w:val="000000"/>
          <w:position w:val="0"/>
        </w:rPr>
        <w:t xml:space="preserve"> Козлова А.А. -</w:t>
        <w:tab/>
        <w:t>начальника отдела</w:t>
        <w:tab/>
        <w:t>контроля</w:t>
        <w:tab/>
        <w:t>закупок, члена комиссии</w:t>
      </w:r>
    </w:p>
    <w:p>
      <w:pPr>
        <w:pStyle w:val="Style10"/>
        <w:widowControl w:val="0"/>
        <w:keepNext w:val="0"/>
        <w:keepLines w:val="0"/>
        <w:shd w:val="clear" w:color="auto" w:fill="auto"/>
        <w:bidi w:val="0"/>
        <w:jc w:val="left"/>
        <w:spacing w:before="0" w:after="0" w:line="269" w:lineRule="exact"/>
        <w:ind w:left="1100" w:right="0" w:firstLine="0"/>
      </w:pPr>
      <w:r>
        <w:rPr>
          <w:lang w:val="ru-RU" w:eastAsia="ru-RU" w:bidi="ru-RU"/>
          <w:sz w:val="24"/>
          <w:szCs w:val="24"/>
          <w:w w:val="100"/>
          <w:spacing w:val="0"/>
          <w:color w:val="000000"/>
          <w:position w:val="0"/>
        </w:rPr>
        <w:t>Управления,</w:t>
      </w:r>
    </w:p>
    <w:p>
      <w:pPr>
        <w:pStyle w:val="Style10"/>
        <w:numPr>
          <w:ilvl w:val="0"/>
          <w:numId w:val="1"/>
        </w:numPr>
        <w:widowControl w:val="0"/>
        <w:keepNext w:val="0"/>
        <w:keepLines w:val="0"/>
        <w:shd w:val="clear" w:color="auto" w:fill="auto"/>
        <w:bidi w:val="0"/>
        <w:jc w:val="left"/>
        <w:spacing w:before="0" w:after="0" w:line="288" w:lineRule="exact"/>
        <w:ind w:left="1100" w:right="0"/>
      </w:pPr>
      <w:r>
        <w:rPr>
          <w:lang w:val="ru-RU" w:eastAsia="ru-RU" w:bidi="ru-RU"/>
          <w:sz w:val="24"/>
          <w:szCs w:val="24"/>
          <w:w w:val="100"/>
          <w:spacing w:val="0"/>
          <w:color w:val="000000"/>
          <w:position w:val="0"/>
        </w:rPr>
        <w:t xml:space="preserve"> Хохловой М.В.. — специалиста-эксперта отдела контроля закупок, члена комиссии Управления,</w:t>
      </w:r>
    </w:p>
    <w:p>
      <w:pPr>
        <w:pStyle w:val="Style10"/>
        <w:widowControl w:val="0"/>
        <w:keepNext w:val="0"/>
        <w:keepLines w:val="0"/>
        <w:shd w:val="clear" w:color="auto" w:fill="auto"/>
        <w:bidi w:val="0"/>
        <w:jc w:val="left"/>
        <w:spacing w:before="0" w:after="0" w:line="288" w:lineRule="exact"/>
        <w:ind w:left="1100" w:right="0" w:firstLine="0"/>
      </w:pPr>
      <w:r>
        <w:rPr>
          <w:lang w:val="ru-RU" w:eastAsia="ru-RU" w:bidi="ru-RU"/>
          <w:sz w:val="24"/>
          <w:szCs w:val="24"/>
          <w:w w:val="100"/>
          <w:spacing w:val="0"/>
          <w:color w:val="000000"/>
          <w:position w:val="0"/>
        </w:rPr>
        <w:t>при участии:</w:t>
      </w:r>
    </w:p>
    <w:p>
      <w:pPr>
        <w:pStyle w:val="Style10"/>
        <w:widowControl w:val="0"/>
        <w:keepNext w:val="0"/>
        <w:keepLines w:val="0"/>
        <w:shd w:val="clear" w:color="auto" w:fill="auto"/>
        <w:bidi w:val="0"/>
        <w:jc w:val="left"/>
        <w:spacing w:before="0" w:after="0" w:line="298" w:lineRule="exact"/>
        <w:ind w:left="20" w:right="0" w:firstLine="700"/>
      </w:pPr>
      <w:r>
        <w:rPr>
          <w:lang w:val="ru-RU" w:eastAsia="ru-RU" w:bidi="ru-RU"/>
          <w:sz w:val="24"/>
          <w:szCs w:val="24"/>
          <w:w w:val="100"/>
          <w:spacing w:val="0"/>
          <w:color w:val="000000"/>
          <w:position w:val="0"/>
        </w:rPr>
        <w:t>со стороны муниципального заказчика - МОУ СОШ с. Телегино Колышлейского района Пензенской области:</w:t>
      </w:r>
    </w:p>
    <w:p>
      <w:pPr>
        <w:pStyle w:val="Style10"/>
        <w:numPr>
          <w:ilvl w:val="0"/>
          <w:numId w:val="1"/>
        </w:numPr>
        <w:widowControl w:val="0"/>
        <w:keepNext w:val="0"/>
        <w:keepLines w:val="0"/>
        <w:shd w:val="clear" w:color="auto" w:fill="auto"/>
        <w:bidi w:val="0"/>
        <w:jc w:val="both"/>
        <w:spacing w:before="0" w:after="806" w:line="298" w:lineRule="exact"/>
        <w:ind w:left="720" w:right="0" w:firstLine="0"/>
      </w:pPr>
      <w:r>
        <w:rPr>
          <w:lang w:val="ru-RU" w:eastAsia="ru-RU" w:bidi="ru-RU"/>
          <w:sz w:val="24"/>
          <w:szCs w:val="24"/>
          <w:w w:val="100"/>
          <w:spacing w:val="0"/>
          <w:color w:val="000000"/>
          <w:position w:val="0"/>
        </w:rPr>
        <w:t xml:space="preserve"> Нагорнова В.П. - директора школы,</w:t>
      </w:r>
    </w:p>
    <w:p>
      <w:pPr>
        <w:pStyle w:val="Style3"/>
        <w:widowControl w:val="0"/>
        <w:keepNext w:val="0"/>
        <w:keepLines w:val="0"/>
        <w:shd w:val="clear" w:color="auto" w:fill="auto"/>
        <w:bidi w:val="0"/>
        <w:jc w:val="right"/>
        <w:spacing w:before="0" w:after="0" w:line="190" w:lineRule="exact"/>
        <w:ind w:left="0" w:right="140" w:firstLine="0"/>
      </w:pPr>
      <w:r>
        <w:rPr>
          <w:lang w:val="ru-RU" w:eastAsia="ru-RU" w:bidi="ru-RU"/>
          <w:w w:val="100"/>
          <w:color w:val="000000"/>
          <w:position w:val="0"/>
        </w:rPr>
        <w:t>ОСИ 286</w:t>
      </w:r>
      <w:r>
        <w:br w:type="page"/>
      </w:r>
    </w:p>
    <w:p>
      <w:pPr>
        <w:pStyle w:val="Style10"/>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со стороны подателя жалобы - общества с ограниченной ответственностью «Перспектива» представитель не явился, о времени и месте рассмотрения настоящей жалобы общество уведомлено надлежащем образом;</w:t>
      </w:r>
    </w:p>
    <w:p>
      <w:pPr>
        <w:pStyle w:val="Style10"/>
        <w:widowControl w:val="0"/>
        <w:keepNext w:val="0"/>
        <w:keepLines w:val="0"/>
        <w:shd w:val="clear" w:color="auto" w:fill="auto"/>
        <w:bidi w:val="0"/>
        <w:jc w:val="both"/>
        <w:spacing w:before="0" w:after="286" w:line="298" w:lineRule="exact"/>
        <w:ind w:left="20" w:right="40" w:firstLine="720"/>
      </w:pPr>
      <w:r>
        <w:rPr>
          <w:lang w:val="ru-RU" w:eastAsia="ru-RU" w:bidi="ru-RU"/>
          <w:sz w:val="24"/>
          <w:szCs w:val="24"/>
          <w:w w:val="100"/>
          <w:spacing w:val="0"/>
          <w:color w:val="000000"/>
          <w:position w:val="0"/>
        </w:rPr>
        <w:t xml:space="preserve">рассмотрев жалобу общества с ограниченной ответственностью «Перспектива» (Куйбышева ул., д. 79, кв. 64, г. Самара, 443099) на положения документации при проведении электронного аукциона «Работы строительные по возведению нежилых зданий и сооружений (работы по строительству новых объектов, возведению пристроек, реконструкции и ремонту зданий). Капитальный ремонт МОУ </w:t>
      </w:r>
      <w:r>
        <w:rPr>
          <w:lang w:val="en-US" w:eastAsia="en-US" w:bidi="en-US"/>
          <w:sz w:val="24"/>
          <w:szCs w:val="24"/>
          <w:w w:val="100"/>
          <w:spacing w:val="0"/>
          <w:color w:val="000000"/>
          <w:position w:val="0"/>
        </w:rPr>
        <w:t xml:space="preserve">COIII </w:t>
      </w:r>
      <w:r>
        <w:rPr>
          <w:lang w:val="ru-RU" w:eastAsia="ru-RU" w:bidi="ru-RU"/>
          <w:sz w:val="24"/>
          <w:szCs w:val="24"/>
          <w:w w:val="100"/>
          <w:spacing w:val="0"/>
          <w:color w:val="000000"/>
          <w:position w:val="0"/>
        </w:rPr>
        <w:t xml:space="preserve">с. Телегино Колышлейского района Пензенской области» (извещение № 0355300074017000001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31.03.2017), проводимого муниципальным заказчиком - Муниципальным общеобразовательным учреждением средняя общеобразовательная школа с. Телегино Колышлейского района Пензенской области,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Административным регламентом Федеральной антимонопольной службы по исполнению государственной функции по рассмотрению жалоб па действия (бездействие) заказчика, уполномоченного органа, уполномоченного учреждения, специализированной организации, комиссии но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10"/>
        <w:widowControl w:val="0"/>
        <w:keepNext w:val="0"/>
        <w:keepLines w:val="0"/>
        <w:shd w:val="clear" w:color="auto" w:fill="auto"/>
        <w:bidi w:val="0"/>
        <w:jc w:val="left"/>
        <w:spacing w:before="0" w:after="242" w:line="240" w:lineRule="exact"/>
        <w:ind w:left="4540" w:right="0" w:firstLine="0"/>
      </w:pPr>
      <w:r>
        <w:rPr>
          <w:lang w:val="ru-RU" w:eastAsia="ru-RU" w:bidi="ru-RU"/>
          <w:sz w:val="24"/>
          <w:szCs w:val="24"/>
          <w:w w:val="100"/>
          <w:spacing w:val="0"/>
          <w:color w:val="000000"/>
          <w:position w:val="0"/>
        </w:rPr>
        <w:t>УСТАНОВИЛА:</w:t>
      </w:r>
    </w:p>
    <w:p>
      <w:pPr>
        <w:pStyle w:val="Style10"/>
        <w:numPr>
          <w:ilvl w:val="0"/>
          <w:numId w:val="3"/>
        </w:numPr>
        <w:tabs>
          <w:tab w:leader="none" w:pos="2180" w:val="left"/>
        </w:tabs>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года в Управление Федеральной антимонопольной службы по Пензенской области (далее - Пензенское У ФАС России) поступила жалоба общества с ограниченной ответственностью «Перспектива» (Куйбышева ул., д. 79, кв. 64, г. Самара, 443099) на положения документации при проведении электронного аукциона «Работы строительные по возведению нежилых зданий и сооружений (работы по строительству новых объектов, возведению пристроек, реконструкции и ремонту зданий). Капитальный ремонт МОУ </w:t>
      </w:r>
      <w:r>
        <w:rPr>
          <w:lang w:val="en-US" w:eastAsia="en-US" w:bidi="en-US"/>
          <w:sz w:val="24"/>
          <w:szCs w:val="24"/>
          <w:w w:val="100"/>
          <w:spacing w:val="0"/>
          <w:color w:val="000000"/>
          <w:position w:val="0"/>
        </w:rPr>
        <w:t xml:space="preserve">COIII </w:t>
      </w:r>
      <w:r>
        <w:rPr>
          <w:lang w:val="ru-RU" w:eastAsia="ru-RU" w:bidi="ru-RU"/>
          <w:sz w:val="24"/>
          <w:szCs w:val="24"/>
          <w:w w:val="100"/>
          <w:spacing w:val="0"/>
          <w:color w:val="000000"/>
          <w:position w:val="0"/>
        </w:rPr>
        <w:t xml:space="preserve">с. Телегино Колышлейского района Пензенской области» (извещение № 0355300074017000001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31.03.2017), проводимого муниципальным заказчиком - Муниципальным общеобразовательным учреждением средняя общеобразовательная школа с. Телегино Колышлейского района Пензенской области.</w:t>
      </w:r>
    </w:p>
    <w:p>
      <w:pPr>
        <w:pStyle w:val="Style10"/>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В своей жалобе Заявитель указывает на следующие нарушения Закона о контрактной системе:</w:t>
      </w:r>
    </w:p>
    <w:p>
      <w:pPr>
        <w:pStyle w:val="Style10"/>
        <w:numPr>
          <w:ilvl w:val="0"/>
          <w:numId w:val="5"/>
        </w:numPr>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 Заказчик в нарушение части 4 статьи 64 Закона о контрактной системе разместил разъяснение положений документации об электронном аукционе без указания текста запроса;</w:t>
      </w:r>
    </w:p>
    <w:p>
      <w:pPr>
        <w:pStyle w:val="Style10"/>
        <w:numPr>
          <w:ilvl w:val="0"/>
          <w:numId w:val="5"/>
        </w:numPr>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 xml:space="preserve"> В документации об электронном аукционе указано, что действие банковской гарантии действует соответствует действию котракта, что нарушает требования статьи 96 Закона о контрактной системе.;</w:t>
      </w:r>
    </w:p>
    <w:p>
      <w:pPr>
        <w:pStyle w:val="Style10"/>
        <w:numPr>
          <w:ilvl w:val="0"/>
          <w:numId w:val="5"/>
        </w:numPr>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 xml:space="preserve"> В проекте муниципального контракта установлен фиксированный размер обеспечения исполнения контракта без учета положений, предусмотренных статьей 37 Закона о контрактной системе.</w:t>
      </w:r>
    </w:p>
    <w:p>
      <w:pPr>
        <w:pStyle w:val="Style10"/>
        <w:widowControl w:val="0"/>
        <w:keepNext w:val="0"/>
        <w:keepLines w:val="0"/>
        <w:shd w:val="clear" w:color="auto" w:fill="auto"/>
        <w:bidi w:val="0"/>
        <w:jc w:val="both"/>
        <w:spacing w:before="0" w:after="0" w:line="307" w:lineRule="exact"/>
        <w:ind w:left="20" w:right="40" w:firstLine="720"/>
      </w:pPr>
      <w:r>
        <w:rPr>
          <w:lang w:val="ru-RU" w:eastAsia="ru-RU" w:bidi="ru-RU"/>
          <w:sz w:val="24"/>
          <w:szCs w:val="24"/>
          <w:w w:val="100"/>
          <w:spacing w:val="0"/>
          <w:color w:val="000000"/>
          <w:position w:val="0"/>
        </w:rPr>
        <w:t>В соответствии с требованиями статьи 106 Закона о контрактной системе жалоба принята и назначена к рассмотрению на 11.05.2017 в 14 часов 00 минут.</w:t>
      </w:r>
    </w:p>
    <w:p>
      <w:pPr>
        <w:pStyle w:val="Style10"/>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Представитель заказчика с доводами жалобы не согласился.</w:t>
      </w:r>
    </w:p>
    <w:p>
      <w:pPr>
        <w:pStyle w:val="Style10"/>
        <w:widowControl w:val="0"/>
        <w:keepNext w:val="0"/>
        <w:keepLines w:val="0"/>
        <w:shd w:val="clear" w:color="auto" w:fill="auto"/>
        <w:bidi w:val="0"/>
        <w:jc w:val="both"/>
        <w:spacing w:before="0" w:after="244" w:line="302" w:lineRule="exact"/>
        <w:ind w:left="20" w:right="20" w:firstLine="700"/>
      </w:pPr>
      <w:r>
        <w:rPr>
          <w:lang w:val="ru-RU" w:eastAsia="ru-RU" w:bidi="ru-RU"/>
          <w:sz w:val="24"/>
          <w:szCs w:val="24"/>
          <w:w w:val="100"/>
          <w:spacing w:val="0"/>
          <w:color w:val="000000"/>
          <w:position w:val="0"/>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pPr>
        <w:pStyle w:val="Style10"/>
        <w:numPr>
          <w:ilvl w:val="0"/>
          <w:numId w:val="7"/>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2"/>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заказчиком размещено извещение о проведении аукциона в электронной форме «Работы строительные по возведению нежилых зданий и сооружений (работы по строительству новых объектов, возведению пристроек, реконструкции и ремонту зданий). Капитальный ремонт МОУ СОШ с. Телегино Колышлейского района Пензенской области» (извещение № 0355300074017000001).</w:t>
      </w:r>
    </w:p>
    <w:p>
      <w:pPr>
        <w:pStyle w:val="Style10"/>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Начальная (максимальная) цена контракта составляет 6 288 750,00 рублей.</w:t>
      </w:r>
    </w:p>
    <w:p>
      <w:pPr>
        <w:pStyle w:val="Style10"/>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Дата и время начала подачи заявок - 31.03.2017 в 20:03.</w:t>
      </w:r>
    </w:p>
    <w:p>
      <w:pPr>
        <w:pStyle w:val="Style10"/>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Дата и время окончания подачи заявок - 02.05.2017 в 23:59.</w:t>
      </w:r>
    </w:p>
    <w:p>
      <w:pPr>
        <w:pStyle w:val="Style10"/>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Дата окончания срока рассмотрения первых частей заявок участников - 03.05.2017.</w:t>
      </w:r>
    </w:p>
    <w:p>
      <w:pPr>
        <w:pStyle w:val="Style10"/>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Дата проведения аукциона в электронной форме - 10.05.2017.</w:t>
      </w:r>
    </w:p>
    <w:p>
      <w:pPr>
        <w:pStyle w:val="Style10"/>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0"/>
        <w:numPr>
          <w:ilvl w:val="0"/>
          <w:numId w:val="9"/>
        </w:numPr>
        <w:tabs>
          <w:tab w:leader="none" w:pos="870" w:val="left"/>
        </w:tabs>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w:t>
      </w:r>
      <w:r>
        <w:rPr>
          <w:rStyle w:val="CharStyle13"/>
        </w:rPr>
        <w:t>с указанием предмета</w:t>
      </w:r>
      <w:r>
        <w:rPr>
          <w:rStyle w:val="CharStyle14"/>
          <w:lang w:val="ru-RU" w:eastAsia="ru-RU" w:bidi="ru-RU"/>
        </w:rPr>
        <w:t xml:space="preserve"> </w:t>
      </w:r>
      <w:r>
        <w:rPr>
          <w:rStyle w:val="CharStyle13"/>
        </w:rPr>
        <w:t>запроса</w:t>
      </w:r>
      <w:r>
        <w:rPr>
          <w:lang w:val="ru-RU" w:eastAsia="ru-RU" w:bidi="ru-RU"/>
          <w:sz w:val="24"/>
          <w:szCs w:val="24"/>
          <w:w w:val="100"/>
          <w:spacing w:val="0"/>
          <w:color w:val="000000"/>
          <w:position w:val="0"/>
        </w:rPr>
        <w:t>,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0"/>
        <w:numPr>
          <w:ilvl w:val="0"/>
          <w:numId w:val="1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и 13.04.2017 заказчиком в единой информационной системе размещены разъяснения положений документации об электронном аукционе без указания текста запроса.</w:t>
      </w:r>
    </w:p>
    <w:p>
      <w:pPr>
        <w:pStyle w:val="Style10"/>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Заказчик, разместив разъяснения документации об электронном аукционе и не указав текст запроса, нарушил требования части 4 статьи 65 Закона о контрактной системе. Однако данное нарушение не повлияло на результаты закупки, в связи с чем Комиссией Управления принято решение предписание не выдавать.</w:t>
      </w:r>
    </w:p>
    <w:p>
      <w:pPr>
        <w:pStyle w:val="Style10"/>
        <w:numPr>
          <w:ilvl w:val="0"/>
          <w:numId w:val="9"/>
        </w:numPr>
        <w:tabs>
          <w:tab w:leader="none" w:pos="1062"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соответствие с пунктом 8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10"/>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части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10"/>
        <w:widowControl w:val="0"/>
        <w:keepNext w:val="0"/>
        <w:keepLines w:val="0"/>
        <w:shd w:val="clear" w:color="auto" w:fill="auto"/>
        <w:bidi w:val="0"/>
        <w:jc w:val="both"/>
        <w:spacing w:before="0" w:after="0" w:line="298" w:lineRule="exact"/>
        <w:ind w:left="40" w:right="20" w:firstLine="560"/>
      </w:pPr>
      <w:r>
        <w:rPr>
          <w:lang w:val="ru-RU" w:eastAsia="ru-RU" w:bidi="ru-RU"/>
          <w:sz w:val="24"/>
          <w:szCs w:val="24"/>
          <w:w w:val="100"/>
          <w:spacing w:val="0"/>
          <w:color w:val="000000"/>
          <w:position w:val="0"/>
        </w:rPr>
        <w:t xml:space="preserve">В соответствии с частью 1 статьи 96 Закона о контрактной системе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r>
        <w:rPr>
          <w:rStyle w:val="CharStyle12"/>
          <w:lang w:val="ru-RU" w:eastAsia="ru-RU" w:bidi="ru-RU"/>
        </w:rPr>
        <w:t>частью 2</w:t>
      </w:r>
      <w:r>
        <w:rPr>
          <w:lang w:val="ru-RU" w:eastAsia="ru-RU" w:bidi="ru-RU"/>
          <w:sz w:val="24"/>
          <w:szCs w:val="24"/>
          <w:w w:val="100"/>
          <w:spacing w:val="0"/>
          <w:color w:val="000000"/>
          <w:position w:val="0"/>
        </w:rPr>
        <w:t xml:space="preserve"> настоящей статьи.</w:t>
      </w:r>
    </w:p>
    <w:p>
      <w:pPr>
        <w:pStyle w:val="Style10"/>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На основании части 3 статьи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w:t>
      </w:r>
      <w:r>
        <w:rPr>
          <w:rStyle w:val="CharStyle12"/>
          <w:lang w:val="ru-RU" w:eastAsia="ru-RU" w:bidi="ru-RU"/>
        </w:rPr>
        <w:t>статьи 45</w:t>
      </w:r>
      <w:r>
        <w:rPr>
          <w:lang w:val="ru-RU" w:eastAsia="ru-RU" w:bidi="ru-RU"/>
          <w:sz w:val="24"/>
          <w:szCs w:val="24"/>
          <w:w w:val="100"/>
          <w:spacing w:val="0"/>
          <w:color w:val="000000"/>
          <w:position w:val="0"/>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pPr>
        <w:pStyle w:val="Style15"/>
        <w:widowControl w:val="0"/>
        <w:keepNext w:val="0"/>
        <w:keepLines w:val="0"/>
        <w:shd w:val="clear" w:color="auto" w:fill="auto"/>
        <w:bidi w:val="0"/>
        <w:spacing w:before="0" w:after="0"/>
        <w:ind w:left="40" w:right="20"/>
      </w:pPr>
      <w:r>
        <w:rPr>
          <w:rStyle w:val="CharStyle17"/>
          <w:i w:val="0"/>
          <w:iCs w:val="0"/>
        </w:rPr>
        <w:t xml:space="preserve">Пунктом 13.1 проекта муниципального контракта установлено, что </w:t>
      </w:r>
      <w:r>
        <w:rPr>
          <w:lang w:val="ru-RU" w:eastAsia="ru-RU" w:bidi="ru-RU"/>
          <w:sz w:val="24"/>
          <w:szCs w:val="24"/>
          <w:w w:val="100"/>
          <w:spacing w:val="0"/>
          <w:color w:val="000000"/>
          <w:position w:val="0"/>
        </w:rPr>
        <w:t xml:space="preserve">исполнение контракта может обеспечиваться: - </w:t>
      </w:r>
      <w:r>
        <w:rPr>
          <w:rStyle w:val="CharStyle18"/>
          <w:i/>
          <w:iCs/>
        </w:rPr>
        <w:t xml:space="preserve">предоставлением банковской гарантии, </w:t>
      </w:r>
      <w:r>
        <w:rPr>
          <w:lang w:val="ru-RU" w:eastAsia="ru-RU" w:bidi="ru-RU"/>
          <w:sz w:val="24"/>
          <w:szCs w:val="24"/>
          <w:w w:val="100"/>
          <w:spacing w:val="0"/>
          <w:color w:val="000000"/>
          <w:position w:val="0"/>
        </w:rPr>
        <w:t xml:space="preserve">выданной банком и соответствующей требованиям статьи 45 Федерального закона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44-ФЗ. Срок действия банковской гарантии должен превышать срок действия контракта не менее чем на один месяц. В соответствии с частью 3 статьи 45 Федерального закона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10"/>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Таким образом, заказчик установил требование к сроку действия банковской гарантии в соответствии с требованиями Закона о контрактной системе.</w:t>
      </w:r>
    </w:p>
    <w:p>
      <w:pPr>
        <w:pStyle w:val="Style10"/>
        <w:numPr>
          <w:ilvl w:val="0"/>
          <w:numId w:val="9"/>
        </w:numPr>
        <w:tabs>
          <w:tab w:leader="none" w:pos="1073" w:val="left"/>
        </w:tabs>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части 2 статьи 37 Закона о контрактной системе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на дату подачи заявки в соответствии с частью 3 настоящей статьи.</w:t>
      </w:r>
    </w:p>
    <w:p>
      <w:pPr>
        <w:pStyle w:val="Style15"/>
        <w:widowControl w:val="0"/>
        <w:keepNext w:val="0"/>
        <w:keepLines w:val="0"/>
        <w:shd w:val="clear" w:color="auto" w:fill="auto"/>
        <w:bidi w:val="0"/>
        <w:spacing w:before="0" w:after="0"/>
        <w:ind w:left="40" w:right="20"/>
      </w:pPr>
      <w:r>
        <w:rPr>
          <w:rStyle w:val="CharStyle17"/>
          <w:i w:val="0"/>
          <w:iCs w:val="0"/>
        </w:rPr>
        <w:t xml:space="preserve">Пункт 4.1 проекта муниципального контракта устанавливает следующее: " </w:t>
      </w:r>
      <w:r>
        <w:rPr>
          <w:lang w:val="ru-RU" w:eastAsia="ru-RU" w:bidi="ru-RU"/>
          <w:sz w:val="24"/>
          <w:szCs w:val="24"/>
          <w:w w:val="100"/>
          <w:spacing w:val="0"/>
          <w:color w:val="000000"/>
          <w:position w:val="0"/>
        </w:rPr>
        <w:t xml:space="preserve">Согласно положениям статьи 37 Федерального закона № 44-ФЗ от 05.04.2013 в случае, 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аукциона или информации, подтверждающей добросовестность такого участника на дату подачи заявки в соответствии с </w:t>
      </w:r>
      <w:r>
        <w:rPr>
          <w:rStyle w:val="CharStyle19"/>
          <w:i/>
          <w:iCs/>
        </w:rPr>
        <w:t>частью 3</w:t>
      </w:r>
      <w:r>
        <w:rPr>
          <w:lang w:val="ru-RU" w:eastAsia="ru-RU" w:bidi="ru-RU"/>
          <w:sz w:val="24"/>
          <w:szCs w:val="24"/>
          <w:w w:val="100"/>
          <w:spacing w:val="0"/>
          <w:color w:val="000000"/>
          <w:position w:val="0"/>
        </w:rPr>
        <w:t xml:space="preserve"> статьи 37 Федерального закона № 44-ФЗ от 05.04.2013."</w:t>
      </w:r>
    </w:p>
    <w:p>
      <w:pPr>
        <w:pStyle w:val="Style10"/>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Таким образом, в проекте муниципального контракта антидемпенговые меры Заказчиком указаны в соответствии с требованиями Закона о контрактной системе.</w:t>
      </w:r>
    </w:p>
    <w:p>
      <w:pPr>
        <w:pStyle w:val="Style10"/>
        <w:widowControl w:val="0"/>
        <w:keepNext w:val="0"/>
        <w:keepLines w:val="0"/>
        <w:shd w:val="clear" w:color="auto" w:fill="auto"/>
        <w:bidi w:val="0"/>
        <w:jc w:val="both"/>
        <w:spacing w:before="0" w:after="282"/>
        <w:ind w:left="20" w:right="20" w:firstLine="720"/>
      </w:pPr>
      <w:r>
        <w:rPr>
          <w:lang w:val="ru-RU" w:eastAsia="ru-RU" w:bidi="ru-RU"/>
          <w:sz w:val="24"/>
          <w:szCs w:val="24"/>
          <w:w w:val="100"/>
          <w:spacing w:val="0"/>
          <w:color w:val="000000"/>
          <w:position w:val="0"/>
        </w:rPr>
        <w:t>Исходя из вышеизложенного, изучив материалы по жалобе, выслушав доводы сторон,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10"/>
        <w:widowControl w:val="0"/>
        <w:keepNext w:val="0"/>
        <w:keepLines w:val="0"/>
        <w:shd w:val="clear" w:color="auto" w:fill="auto"/>
        <w:bidi w:val="0"/>
        <w:jc w:val="left"/>
        <w:spacing w:before="0" w:after="146" w:line="240" w:lineRule="exact"/>
        <w:ind w:left="4880" w:right="0" w:firstLine="0"/>
      </w:pPr>
      <w:r>
        <w:rPr>
          <w:lang w:val="ru-RU" w:eastAsia="ru-RU" w:bidi="ru-RU"/>
          <w:sz w:val="24"/>
          <w:szCs w:val="24"/>
          <w:w w:val="100"/>
          <w:spacing w:val="0"/>
          <w:color w:val="000000"/>
          <w:position w:val="0"/>
        </w:rPr>
        <w:t>РЕШИЛА:</w:t>
      </w:r>
    </w:p>
    <w:p>
      <w:pPr>
        <w:pStyle w:val="Style10"/>
        <w:numPr>
          <w:ilvl w:val="0"/>
          <w:numId w:val="13"/>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«Перспектива» (Куйбышева ул., д. 79, кв. 64, г. Самара, 443099) на положения документации при проведении электронного аукциона «Работы строительные по возведению нежилых зданий и сооружений (работы по строительству новых объектов, возведению пристроек, реконструкции и ремонту зданий). Капитальный ремонт МОУ СОШ с. Телегино Колышлейского района Пензенской области» (извещение № 0355300074017000001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31.03.2017), проводимого муниципальным заказчиком - Муниципальным общеобразовательным учреждением средняя общеобразовательная школа с. Телегино Колышлейского района Пензенской области частично обоснованной.</w:t>
      </w:r>
    </w:p>
    <w:p>
      <w:pPr>
        <w:pStyle w:val="Style10"/>
        <w:numPr>
          <w:ilvl w:val="0"/>
          <w:numId w:val="13"/>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Признать заказчика нарушившим части 4 статьи 65 Закона о контрактной системе.</w:t>
      </w:r>
    </w:p>
    <w:p>
      <w:pPr>
        <w:pStyle w:val="Style10"/>
        <w:numPr>
          <w:ilvl w:val="0"/>
          <w:numId w:val="13"/>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Предписание не выдавать.</w:t>
      </w:r>
    </w:p>
    <w:p>
      <w:pPr>
        <w:pStyle w:val="Style10"/>
        <w:numPr>
          <w:ilvl w:val="0"/>
          <w:numId w:val="13"/>
        </w:numPr>
        <w:widowControl w:val="0"/>
        <w:keepNext w:val="0"/>
        <w:keepLines w:val="0"/>
        <w:shd w:val="clear" w:color="auto" w:fill="auto"/>
        <w:bidi w:val="0"/>
        <w:jc w:val="both"/>
        <w:spacing w:before="0" w:after="240"/>
        <w:ind w:left="20" w:right="20" w:firstLine="720"/>
      </w:pPr>
      <w:r>
        <w:rPr>
          <w:lang w:val="ru-RU" w:eastAsia="ru-RU" w:bidi="ru-RU"/>
          <w:sz w:val="24"/>
          <w:szCs w:val="24"/>
          <w:w w:val="100"/>
          <w:spacing w:val="0"/>
          <w:color w:val="000000"/>
          <w:position w:val="0"/>
        </w:rPr>
        <w:t xml:space="preserve"> Передать материалы дела должностному лицу Пензенского УФАС России для рассмотрения вопроса о возбуждении дела об административном правонарушении.</w:t>
      </w:r>
    </w:p>
    <w:p>
      <w:pPr>
        <w:pStyle w:val="Style10"/>
        <w:widowControl w:val="0"/>
        <w:keepNext w:val="0"/>
        <w:keepLines w:val="0"/>
        <w:shd w:val="clear" w:color="auto" w:fill="auto"/>
        <w:bidi w:val="0"/>
        <w:jc w:val="both"/>
        <w:spacing w:before="0" w:after="282"/>
        <w:ind w:left="2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0"/>
        <w:widowControl w:val="0"/>
        <w:keepNext w:val="0"/>
        <w:keepLines w:val="0"/>
        <w:shd w:val="clear" w:color="auto" w:fill="auto"/>
        <w:bidi w:val="0"/>
        <w:jc w:val="left"/>
        <w:spacing w:before="0" w:after="302" w:line="240" w:lineRule="exact"/>
        <w:ind w:left="20" w:right="0" w:firstLine="0"/>
      </w:pPr>
      <w:r>
        <w:rPr>
          <w:lang w:val="ru-RU" w:eastAsia="ru-RU" w:bidi="ru-RU"/>
          <w:sz w:val="24"/>
          <w:szCs w:val="24"/>
          <w:w w:val="100"/>
          <w:spacing w:val="0"/>
          <w:color w:val="000000"/>
          <w:position w:val="0"/>
        </w:rPr>
        <w:t>Председатель Комиссии</w:t>
      </w:r>
    </w:p>
    <w:p>
      <w:pPr>
        <w:pStyle w:val="Style1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r>
        <w:br w:type="page"/>
      </w:r>
    </w:p>
    <w:sectPr>
      <w:type w:val="continuous"/>
      <w:pgSz w:w="11906" w:h="16838"/>
      <w:pgMar w:top="646" w:left="577" w:right="577" w:bottom="1420" w:header="0" w:footer="3" w:gutter="49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05.%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31.0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10.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14"/>
    </w:rPr>
  </w:style>
  <w:style w:type="character" w:customStyle="1" w:styleId="CharStyle6">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4)_"/>
    <w:basedOn w:val="DefaultParagraphFont"/>
    <w:link w:val="Style3"/>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11">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w:basedOn w:val="CharStyle11"/>
    <w:rPr>
      <w:lang w:val="en-US" w:eastAsia="en-US" w:bidi="en-US"/>
      <w:u w:val="single"/>
      <w:sz w:val="24"/>
      <w:szCs w:val="24"/>
      <w:w w:val="100"/>
      <w:spacing w:val="0"/>
      <w:color w:val="000000"/>
      <w:position w:val="0"/>
    </w:rPr>
  </w:style>
  <w:style w:type="character" w:customStyle="1" w:styleId="CharStyle13">
    <w:name w:val="Основной текст + Курсив"/>
    <w:basedOn w:val="CharStyle11"/>
    <w:rPr>
      <w:lang w:val="ru-RU" w:eastAsia="ru-RU" w:bidi="ru-RU"/>
      <w:i/>
      <w:iCs/>
      <w:u w:val="single"/>
      <w:sz w:val="24"/>
      <w:szCs w:val="24"/>
      <w:w w:val="100"/>
      <w:spacing w:val="0"/>
      <w:color w:val="000000"/>
      <w:position w:val="0"/>
    </w:rPr>
  </w:style>
  <w:style w:type="character" w:customStyle="1" w:styleId="CharStyle14">
    <w:name w:val="Основной текст + Курсив"/>
    <w:basedOn w:val="CharStyle11"/>
    <w:rPr>
      <w:lang w:val="1024"/>
      <w:i/>
      <w:iCs/>
      <w:sz w:val="24"/>
      <w:szCs w:val="24"/>
      <w:w w:val="100"/>
      <w:spacing w:val="0"/>
      <w:color w:val="000000"/>
      <w:position w:val="0"/>
    </w:rPr>
  </w:style>
  <w:style w:type="character" w:customStyle="1" w:styleId="CharStyle16">
    <w:name w:val="Основной текст (5)_"/>
    <w:basedOn w:val="DefaultParagraphFont"/>
    <w:link w:val="Style15"/>
    <w:rPr>
      <w:b w:val="0"/>
      <w:bCs w:val="0"/>
      <w:i/>
      <w:iCs/>
      <w:u w:val="none"/>
      <w:strike w:val="0"/>
      <w:smallCaps w:val="0"/>
      <w:rFonts w:ascii="Times New Roman" w:eastAsia="Times New Roman" w:hAnsi="Times New Roman" w:cs="Times New Roman"/>
    </w:rPr>
  </w:style>
  <w:style w:type="character" w:customStyle="1" w:styleId="CharStyle17">
    <w:name w:val="Основной текст (5) + Не курсив"/>
    <w:basedOn w:val="CharStyle16"/>
    <w:rPr>
      <w:lang w:val="ru-RU" w:eastAsia="ru-RU" w:bidi="ru-RU"/>
      <w:i/>
      <w:iCs/>
      <w:sz w:val="24"/>
      <w:szCs w:val="24"/>
      <w:w w:val="100"/>
      <w:spacing w:val="0"/>
      <w:color w:val="000000"/>
      <w:position w:val="0"/>
    </w:rPr>
  </w:style>
  <w:style w:type="character" w:customStyle="1" w:styleId="CharStyle18">
    <w:name w:val="Основной текст (5) + Полужирный"/>
    <w:basedOn w:val="CharStyle16"/>
    <w:rPr>
      <w:lang w:val="ru-RU" w:eastAsia="ru-RU" w:bidi="ru-RU"/>
      <w:b/>
      <w:bCs/>
      <w:sz w:val="24"/>
      <w:szCs w:val="24"/>
      <w:w w:val="100"/>
      <w:spacing w:val="0"/>
      <w:color w:val="000000"/>
      <w:position w:val="0"/>
    </w:rPr>
  </w:style>
  <w:style w:type="character" w:customStyle="1" w:styleId="CharStyle19">
    <w:name w:val="Основной текст (5)"/>
    <w:basedOn w:val="CharStyle16"/>
    <w:rPr>
      <w:lang w:val="ru-RU" w:eastAsia="ru-RU" w:bidi="ru-RU"/>
      <w:u w:val="single"/>
      <w:sz w:val="24"/>
      <w:szCs w:val="24"/>
      <w:w w:val="100"/>
      <w:spacing w:val="0"/>
      <w:color w:val="000000"/>
      <w:position w:val="0"/>
    </w:rPr>
  </w:style>
  <w:style w:type="paragraph" w:customStyle="1" w:styleId="Style3">
    <w:name w:val="Основной текст (4)"/>
    <w:basedOn w:val="Normal"/>
    <w:link w:val="CharStyle9"/>
    <w:pPr>
      <w:widowControl w:val="0"/>
      <w:shd w:val="clear" w:color="auto" w:fill="FFFFFF"/>
      <w:spacing w:before="600" w:line="0"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5">
    <w:name w:val="Основной текст (2)"/>
    <w:basedOn w:val="Normal"/>
    <w:link w:val="CharStyle6"/>
    <w:pPr>
      <w:widowControl w:val="0"/>
      <w:shd w:val="clear" w:color="auto" w:fill="FFFFFF"/>
      <w:jc w:val="center"/>
      <w:spacing w:before="120" w:after="120" w:line="298"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600" w:line="178"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line="293" w:lineRule="exact"/>
      <w:ind w:hanging="380"/>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298"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