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255"/>
        <w:ind w:left="0" w:right="0" w:firstLine="0"/>
      </w:pPr>
      <w:bookmarkStart w:id="0" w:name="bookmark0"/>
      <w:r>
        <w:rPr>
          <w:rStyle w:val="CharStyle5"/>
        </w:rPr>
        <w:t xml:space="preserve">РЕШЕНИЕ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02.05.2017 на действия заказчика - ГКУ КК «Автобаза органов государственной власти Краснодарского края» при проведении электронного аукциона: «Поставка запасных частей к автомобилям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Nissan»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(извещение №0318200063917000351) и сообщает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ч.П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«СБЫТМАРКЕТ», поступившая в Краснодарское УФАС России 02.05.2017, не подписана.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ч.4 ст.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</w:t>
      </w:r>
      <w:r>
        <w:rPr>
          <w:rStyle w:val="CharStyle8"/>
        </w:rPr>
        <w:t>Жалоба на положения документации о таком аукционе может быть подана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участником закупки до окончания срока подачи заявок на участие в таком аукционе.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обжалование данных действий (бездействия) осуществляется до заключения контракта.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</w:t>
      </w:r>
      <w:r>
        <w:br w:type="page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57" w:left="1179" w:right="1179" w:bottom="9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Заголовок №1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240" w:line="31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before="240" w:line="293" w:lineRule="exact"/>
      <w:ind w:firstLine="5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