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5" w:after="23"/>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15"/>
        <w:ind w:left="0" w:right="0" w:firstLine="0"/>
      </w:pPr>
      <w:r>
        <w:rPr>
          <w:rStyle w:val="CharStyle8"/>
        </w:rPr>
        <w:t>УПРАВЛЕНИЕ Федеральной антимонопольной службы по Томской области</w:t>
      </w:r>
    </w:p>
    <w:p>
      <w:pPr>
        <w:pStyle w:val="Style9"/>
        <w:widowControl w:val="0"/>
        <w:keepNext w:val="0"/>
        <w:keepLines w:val="0"/>
        <w:shd w:val="clear" w:color="auto" w:fill="auto"/>
        <w:bidi w:val="0"/>
        <w:jc w:val="left"/>
        <w:spacing w:before="0" w:after="0"/>
        <w:ind w:left="1080" w:right="1140" w:firstLine="0"/>
      </w:pPr>
      <w:r>
        <w:rPr>
          <w:rStyle w:val="CharStyle11"/>
        </w:rPr>
        <w:t xml:space="preserve">пр. Ленина. 111, г. Томск. 634069 тел./факс (3822) 51-29-80 </w:t>
      </w:r>
      <w:r>
        <w:rPr>
          <w:rStyle w:val="CharStyle11"/>
          <w:lang w:val="en-US" w:eastAsia="en-US" w:bidi="en-US"/>
        </w:rPr>
        <w:t>e-mail:</w:t>
      </w:r>
      <w:r>
        <w:rPr>
          <w:rStyle w:val="CharStyle12"/>
        </w:rPr>
        <w:t xml:space="preserve">to70 </w:t>
      </w:r>
      <w:r>
        <w:rPr>
          <w:rStyle w:val="CharStyle13"/>
        </w:rPr>
        <w:t>а</w:t>
      </w:r>
      <w:r>
        <w:rPr>
          <w:rStyle w:val="CharStyle12"/>
          <w:lang w:val="ru-RU" w:eastAsia="ru-RU" w:bidi="ru-RU"/>
        </w:rPr>
        <w:t xml:space="preserve"> </w:t>
      </w:r>
      <w:r>
        <w:rPr>
          <w:rStyle w:val="CharStyle12"/>
        </w:rPr>
        <w:t>fas.gov.ru</w:t>
      </w:r>
    </w:p>
    <w:p>
      <w:pPr>
        <w:pStyle w:val="Style14"/>
        <w:widowControl w:val="0"/>
        <w:keepNext/>
        <w:keepLines/>
        <w:shd w:val="clear" w:color="auto" w:fill="auto"/>
        <w:bidi w:val="0"/>
        <w:jc w:val="left"/>
        <w:spacing w:before="0" w:after="299" w:line="560" w:lineRule="exact"/>
        <w:ind w:left="540" w:right="0" w:firstLine="0"/>
      </w:pPr>
      <w:bookmarkStart w:id="0" w:name="bookmark0"/>
      <w:r>
        <w:rPr>
          <w:rStyle w:val="CharStyle16"/>
          <w:b/>
          <w:bCs/>
          <w:i/>
          <w:iCs/>
        </w:rPr>
        <w:t xml:space="preserve">./jd </w:t>
      </w:r>
      <w:r>
        <w:rPr>
          <w:rStyle w:val="CharStyle17"/>
          <w:b w:val="0"/>
          <w:bCs w:val="0"/>
          <w:i/>
          <w:iCs/>
        </w:rPr>
        <w:t>os,</w:t>
      </w:r>
      <w:r>
        <w:rPr>
          <w:rStyle w:val="CharStyle18"/>
          <w:lang w:val="en-US" w:eastAsia="en-US" w:bidi="en-US"/>
          <w:b w:val="0"/>
          <w:bCs w:val="0"/>
          <w:i w:val="0"/>
          <w:iCs w:val="0"/>
        </w:rPr>
        <w:t xml:space="preserve"> </w:t>
      </w:r>
      <w:r>
        <w:rPr>
          <w:rStyle w:val="CharStyle18"/>
          <w:b w:val="0"/>
          <w:bCs w:val="0"/>
          <w:i w:val="0"/>
          <w:iCs w:val="0"/>
        </w:rPr>
        <w:t>/ (У</w:t>
      </w:r>
      <w:r>
        <w:rPr>
          <w:rStyle w:val="CharStyle19"/>
          <w:b w:val="0"/>
          <w:bCs w:val="0"/>
          <w:i w:val="0"/>
          <w:iCs w:val="0"/>
        </w:rPr>
        <w:t xml:space="preserve"> </w:t>
      </w:r>
      <w:r>
        <w:rPr>
          <w:rStyle w:val="CharStyle20"/>
          <w:b w:val="0"/>
          <w:bCs w:val="0"/>
          <w:i w:val="0"/>
          <w:iCs w:val="0"/>
        </w:rPr>
        <w:t xml:space="preserve">\о </w:t>
      </w:r>
      <w:r>
        <w:rPr>
          <w:rStyle w:val="CharStyle16"/>
          <w:lang w:val="ru-RU" w:eastAsia="ru-RU" w:bidi="ru-RU"/>
          <w:b/>
          <w:bCs/>
          <w:i/>
          <w:iCs/>
        </w:rPr>
        <w:t xml:space="preserve">$ </w:t>
      </w:r>
      <w:r>
        <w:rPr>
          <w:rStyle w:val="CharStyle16"/>
          <w:b/>
          <w:bCs/>
          <w:i/>
          <w:iCs/>
        </w:rPr>
        <w:t>(hjs gpiy</w:t>
      </w:r>
      <w:bookmarkEnd w:id="0"/>
    </w:p>
    <w:p>
      <w:pPr>
        <w:pStyle w:val="Style21"/>
        <w:tabs>
          <w:tab w:leader="none" w:pos="2534" w:val="right"/>
        </w:tabs>
        <w:widowControl w:val="0"/>
        <w:keepNext w:val="0"/>
        <w:keepLines w:val="0"/>
        <w:shd w:val="clear" w:color="auto" w:fill="auto"/>
        <w:bidi w:val="0"/>
        <w:spacing w:before="0" w:after="0" w:line="200" w:lineRule="exact"/>
        <w:ind w:left="360" w:right="0" w:firstLine="0"/>
      </w:pPr>
      <w:r>
        <w:rPr>
          <w:rStyle w:val="CharStyle23"/>
        </w:rPr>
        <w:t xml:space="preserve">На </w:t>
      </w:r>
      <w:r>
        <w:rPr>
          <w:rStyle w:val="CharStyle24"/>
        </w:rPr>
        <w:t>j\'</w:t>
      </w:r>
      <w:r>
        <w:rPr>
          <w:rStyle w:val="CharStyle23"/>
          <w:lang w:val="en-US" w:eastAsia="en-US" w:bidi="en-US"/>
        </w:rPr>
        <w:t>2</w:t>
        <w:tab/>
      </w:r>
      <w:r>
        <w:rPr>
          <w:rStyle w:val="CharStyle23"/>
        </w:rPr>
        <w:t>от</w:t>
      </w:r>
    </w:p>
    <w:p>
      <w:pPr>
        <w:pStyle w:val="Style3"/>
        <w:widowControl w:val="0"/>
        <w:keepNext w:val="0"/>
        <w:keepLines w:val="0"/>
        <w:shd w:val="clear" w:color="auto" w:fill="auto"/>
        <w:bidi w:val="0"/>
        <w:jc w:val="right"/>
        <w:spacing w:before="0" w:after="0" w:line="200" w:lineRule="exact"/>
        <w:ind w:left="0" w:right="20" w:firstLine="0"/>
      </w:pPr>
      <w:r>
        <w:rPr>
          <w:rStyle w:val="CharStyle25"/>
        </w:rPr>
        <w:t>Заказчик:</w:t>
      </w:r>
    </w:p>
    <w:p>
      <w:pPr>
        <w:pStyle w:val="Style6"/>
        <w:widowControl w:val="0"/>
        <w:keepNext w:val="0"/>
        <w:keepLines w:val="0"/>
        <w:shd w:val="clear" w:color="auto" w:fill="auto"/>
        <w:bidi w:val="0"/>
        <w:jc w:val="both"/>
        <w:spacing w:before="0" w:after="282" w:line="317" w:lineRule="exact"/>
        <w:ind w:left="20" w:right="20" w:firstLine="0"/>
      </w:pPr>
      <w:r>
        <w:rPr>
          <w:lang w:val="ru-RU" w:eastAsia="ru-RU" w:bidi="ru-RU"/>
          <w:w w:val="100"/>
          <w:spacing w:val="0"/>
          <w:color w:val="000000"/>
          <w:position w:val="0"/>
        </w:rPr>
        <w:t>Департамент капитального строительства Администрации Города Томска</w:t>
      </w:r>
    </w:p>
    <w:p>
      <w:pPr>
        <w:pStyle w:val="Style9"/>
        <w:widowControl w:val="0"/>
        <w:keepNext w:val="0"/>
        <w:keepLines w:val="0"/>
        <w:shd w:val="clear" w:color="auto" w:fill="auto"/>
        <w:bidi w:val="0"/>
        <w:jc w:val="right"/>
        <w:spacing w:before="0" w:after="227" w:line="190" w:lineRule="exact"/>
        <w:ind w:left="0" w:right="20" w:firstLine="0"/>
      </w:pPr>
      <w:r>
        <w:rPr>
          <w:lang w:val="ru-RU" w:eastAsia="ru-RU" w:bidi="ru-RU"/>
          <w:w w:val="100"/>
          <w:spacing w:val="0"/>
          <w:color w:val="000000"/>
          <w:position w:val="0"/>
        </w:rPr>
        <w:t>634029, г. Томск, ул. Гоголя, 12/1</w:t>
      </w:r>
    </w:p>
    <w:p>
      <w:pPr>
        <w:pStyle w:val="Style3"/>
        <w:widowControl w:val="0"/>
        <w:keepNext w:val="0"/>
        <w:keepLines w:val="0"/>
        <w:shd w:val="clear" w:color="auto" w:fill="auto"/>
        <w:bidi w:val="0"/>
        <w:jc w:val="left"/>
        <w:spacing w:before="0" w:after="0" w:line="299" w:lineRule="exact"/>
        <w:ind w:left="20" w:right="440" w:firstLine="0"/>
      </w:pPr>
      <w:r>
        <w:rPr>
          <w:rStyle w:val="CharStyle25"/>
        </w:rPr>
        <w:t>Уполномоченный орган и аукционная комиссия:</w:t>
      </w:r>
      <w:r>
        <w:rPr>
          <w:lang w:val="ru-RU" w:eastAsia="ru-RU" w:bidi="ru-RU"/>
          <w:w w:val="100"/>
          <w:spacing w:val="0"/>
          <w:color w:val="000000"/>
          <w:position w:val="0"/>
        </w:rPr>
        <w:t xml:space="preserve"> </w:t>
      </w:r>
      <w:r>
        <w:rPr>
          <w:rStyle w:val="CharStyle26"/>
        </w:rPr>
        <w:t>Администрация Города Томска</w:t>
      </w:r>
    </w:p>
    <w:p>
      <w:pPr>
        <w:pStyle w:val="Style9"/>
        <w:widowControl w:val="0"/>
        <w:keepNext w:val="0"/>
        <w:keepLines w:val="0"/>
        <w:shd w:val="clear" w:color="auto" w:fill="auto"/>
        <w:bidi w:val="0"/>
        <w:jc w:val="left"/>
        <w:spacing w:before="0" w:after="0" w:line="608" w:lineRule="exact"/>
        <w:ind w:left="20" w:right="20" w:firstLine="1640"/>
      </w:pPr>
      <w:r>
        <w:rPr>
          <w:lang w:val="ru-RU" w:eastAsia="ru-RU" w:bidi="ru-RU"/>
          <w:w w:val="100"/>
          <w:spacing w:val="0"/>
          <w:color w:val="000000"/>
          <w:position w:val="0"/>
        </w:rPr>
        <w:t xml:space="preserve">634009, г. Томск, пер.Сакко, 2, каб. 305 </w:t>
      </w:r>
      <w:r>
        <w:rPr>
          <w:rStyle w:val="CharStyle27"/>
        </w:rPr>
        <w:t>Заявитель жалобы:</w:t>
      </w:r>
    </w:p>
    <w:p>
      <w:pPr>
        <w:pStyle w:val="Style6"/>
        <w:widowControl w:val="0"/>
        <w:keepNext w:val="0"/>
        <w:keepLines w:val="0"/>
        <w:shd w:val="clear" w:color="auto" w:fill="auto"/>
        <w:bidi w:val="0"/>
        <w:jc w:val="both"/>
        <w:spacing w:before="0" w:after="0" w:line="313" w:lineRule="exact"/>
        <w:ind w:left="20" w:right="20" w:firstLine="0"/>
        <w:sectPr>
          <w:footnotePr>
            <w:pos w:val="pageBottom"/>
            <w:numFmt w:val="decimal"/>
            <w:numRestart w:val="continuous"/>
          </w:footnotePr>
          <w:type w:val="continuous"/>
          <w:pgSz w:w="11906" w:h="16838"/>
          <w:pgMar w:top="401" w:left="565" w:right="867" w:bottom="120" w:header="0" w:footer="3" w:gutter="0"/>
          <w:rtlGutter w:val="0"/>
          <w:cols w:num="2" w:space="450"/>
          <w:noEndnote/>
          <w:docGrid w:linePitch="360"/>
        </w:sectPr>
      </w:pPr>
      <w:r>
        <w:rPr>
          <w:lang w:val="ru-RU" w:eastAsia="ru-RU" w:bidi="ru-RU"/>
          <w:w w:val="100"/>
          <w:spacing w:val="0"/>
          <w:color w:val="000000"/>
          <w:position w:val="0"/>
        </w:rPr>
        <w:t>НОЧУ ДПО «Учебно-методический центр «Эко-Сфера»</w:t>
      </w:r>
    </w:p>
    <w:p>
      <w:pPr>
        <w:widowControl w:val="0"/>
        <w:spacing w:line="138"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323" w:line="190" w:lineRule="exact"/>
        <w:ind w:left="5780" w:right="0" w:firstLine="0"/>
      </w:pPr>
      <w:r>
        <w:rPr>
          <w:lang w:val="ru-RU" w:eastAsia="ru-RU" w:bidi="ru-RU"/>
          <w:w w:val="100"/>
          <w:spacing w:val="0"/>
          <w:color w:val="000000"/>
          <w:position w:val="0"/>
        </w:rPr>
        <w:t>249030, Калужская обл., г. Обнинск, ул. Победы, 9а</w:t>
      </w:r>
    </w:p>
    <w:p>
      <w:pPr>
        <w:pStyle w:val="Style6"/>
        <w:widowControl w:val="0"/>
        <w:keepNext w:val="0"/>
        <w:keepLines w:val="0"/>
        <w:shd w:val="clear" w:color="auto" w:fill="auto"/>
        <w:bidi w:val="0"/>
        <w:spacing w:before="0" w:after="355" w:line="299" w:lineRule="exact"/>
        <w:ind w:left="260" w:right="0" w:firstLine="0"/>
      </w:pPr>
      <w:r>
        <w:rPr>
          <w:lang w:val="ru-RU" w:eastAsia="ru-RU" w:bidi="ru-RU"/>
          <w:w w:val="100"/>
          <w:spacing w:val="0"/>
          <w:color w:val="000000"/>
          <w:position w:val="0"/>
        </w:rPr>
        <w:t>РЕШЕНИЕ по делу № 03-10/85-17</w:t>
      </w:r>
    </w:p>
    <w:p>
      <w:pPr>
        <w:pStyle w:val="Style6"/>
        <w:widowControl w:val="0"/>
        <w:keepNext w:val="0"/>
        <w:keepLines w:val="0"/>
        <w:shd w:val="clear" w:color="auto" w:fill="auto"/>
        <w:bidi w:val="0"/>
        <w:jc w:val="both"/>
        <w:spacing w:before="0" w:after="66" w:line="230" w:lineRule="exact"/>
        <w:ind w:left="20" w:right="0" w:firstLine="0"/>
      </w:pPr>
      <w:r>
        <w:rPr>
          <w:lang w:val="ru-RU" w:eastAsia="ru-RU" w:bidi="ru-RU"/>
          <w:w w:val="100"/>
          <w:spacing w:val="0"/>
          <w:color w:val="000000"/>
          <w:position w:val="0"/>
        </w:rPr>
        <w:t xml:space="preserve">Резолютивная </w:t>
      </w:r>
      <w:r>
        <w:rPr>
          <w:rStyle w:val="CharStyle29"/>
        </w:rPr>
        <w:t xml:space="preserve">честь </w:t>
      </w:r>
      <w:r>
        <w:rPr>
          <w:lang w:val="ru-RU" w:eastAsia="ru-RU" w:bidi="ru-RU"/>
          <w:w w:val="100"/>
          <w:spacing w:val="0"/>
          <w:color w:val="000000"/>
          <w:position w:val="0"/>
        </w:rPr>
        <w:t>решения оглашена «05» мая 2017г.</w:t>
      </w:r>
    </w:p>
    <w:p>
      <w:pPr>
        <w:pStyle w:val="Style6"/>
        <w:tabs>
          <w:tab w:leader="none" w:pos="9351" w:val="center"/>
          <w:tab w:leader="none" w:pos="10197" w:val="right"/>
        </w:tabs>
        <w:widowControl w:val="0"/>
        <w:keepNext w:val="0"/>
        <w:keepLines w:val="0"/>
        <w:shd w:val="clear" w:color="auto" w:fill="auto"/>
        <w:bidi w:val="0"/>
        <w:jc w:val="both"/>
        <w:spacing w:before="0" w:after="318" w:line="230" w:lineRule="exact"/>
        <w:ind w:left="20" w:right="0" w:firstLine="0"/>
      </w:pPr>
      <w:r>
        <w:rPr>
          <w:lang w:val="ru-RU" w:eastAsia="ru-RU" w:bidi="ru-RU"/>
          <w:w w:val="100"/>
          <w:spacing w:val="0"/>
          <w:color w:val="000000"/>
          <w:position w:val="0"/>
        </w:rPr>
        <w:t>Решение изготоЕлено в полном объеме «12» мая 2017г.</w:t>
        <w:tab/>
        <w:t>г.</w:t>
        <w:tab/>
        <w:t>Томск</w:t>
      </w:r>
    </w:p>
    <w:p>
      <w:pPr>
        <w:pStyle w:val="Style6"/>
        <w:widowControl w:val="0"/>
        <w:keepNext w:val="0"/>
        <w:keepLines w:val="0"/>
        <w:shd w:val="clear" w:color="auto" w:fill="auto"/>
        <w:bidi w:val="0"/>
        <w:jc w:val="left"/>
        <w:spacing w:before="0" w:after="0" w:line="295" w:lineRule="exact"/>
        <w:ind w:left="20" w:right="0" w:firstLine="560"/>
      </w:pPr>
      <w:r>
        <w:rPr>
          <w:lang w:val="ru-RU" w:eastAsia="ru-RU" w:bidi="ru-RU"/>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УФАС России) в составе: председателя комиссии:</w:t>
      </w:r>
    </w:p>
    <w:p>
      <w:pPr>
        <w:pStyle w:val="Style6"/>
        <w:framePr w:w="6775" w:h="2437" w:vSpace="301" w:wrap="around" w:vAnchor="text" w:hAnchor="margin" w:x="3490" w:y="-58"/>
        <w:widowControl w:val="0"/>
        <w:keepNext w:val="0"/>
        <w:keepLines w:val="0"/>
        <w:shd w:val="clear" w:color="auto" w:fill="auto"/>
        <w:bidi w:val="0"/>
        <w:jc w:val="left"/>
        <w:spacing w:before="0" w:after="303" w:line="299" w:lineRule="exact"/>
        <w:ind w:left="100" w:right="100" w:firstLine="0"/>
      </w:pPr>
      <w:r>
        <w:rPr>
          <w:rStyle w:val="CharStyle28"/>
          <w:spacing w:val="0"/>
        </w:rPr>
        <w:t>заместителя руководителя - начальника отдела контроля закупок;</w:t>
      </w:r>
    </w:p>
    <w:p>
      <w:pPr>
        <w:pStyle w:val="Style6"/>
        <w:framePr w:w="6775" w:h="2437" w:vSpace="301" w:wrap="around" w:vAnchor="text" w:hAnchor="margin" w:x="3490" w:y="-58"/>
        <w:widowControl w:val="0"/>
        <w:keepNext w:val="0"/>
        <w:keepLines w:val="0"/>
        <w:shd w:val="clear" w:color="auto" w:fill="auto"/>
        <w:bidi w:val="0"/>
        <w:jc w:val="left"/>
        <w:spacing w:before="0" w:after="0" w:line="295" w:lineRule="exact"/>
        <w:ind w:left="100" w:right="100" w:firstLine="0"/>
      </w:pPr>
      <w:r>
        <w:rPr>
          <w:rStyle w:val="CharStyle28"/>
          <w:spacing w:val="0"/>
        </w:rPr>
        <w:t>заместителя начальника отдела контроля закупок; главного специалиста-эксперта отдела контроля закупок; ведущего специалиста-эксперта отдела контроля закупок; специалиста-эксперта отдела контроля закупок; специалиста-эксперта отдела контроля закупок,</w:t>
      </w:r>
    </w:p>
    <w:p>
      <w:pPr>
        <w:pStyle w:val="Style6"/>
        <w:widowControl w:val="0"/>
        <w:keepNext w:val="0"/>
        <w:keepLines w:val="0"/>
        <w:shd w:val="clear" w:color="auto" w:fill="auto"/>
        <w:bidi w:val="0"/>
        <w:jc w:val="both"/>
        <w:spacing w:before="0" w:after="300" w:line="295" w:lineRule="exact"/>
        <w:ind w:left="20" w:right="0" w:firstLine="0"/>
      </w:pPr>
      <w:r>
        <w:rPr>
          <w:lang w:val="ru-RU" w:eastAsia="ru-RU" w:bidi="ru-RU"/>
          <w:w w:val="100"/>
          <w:spacing w:val="0"/>
          <w:color w:val="000000"/>
          <w:position w:val="0"/>
        </w:rPr>
        <w:t>Алиева Р.А.,</w:t>
      </w:r>
    </w:p>
    <w:p>
      <w:pPr>
        <w:pStyle w:val="Style6"/>
        <w:widowControl w:val="0"/>
        <w:keepNext w:val="0"/>
        <w:keepLines w:val="0"/>
        <w:shd w:val="clear" w:color="auto" w:fill="auto"/>
        <w:bidi w:val="0"/>
        <w:jc w:val="both"/>
        <w:spacing w:before="0" w:after="0" w:line="295" w:lineRule="exact"/>
        <w:ind w:left="20" w:right="0" w:firstLine="0"/>
      </w:pPr>
      <w:r>
        <w:rPr>
          <w:lang w:val="ru-RU" w:eastAsia="ru-RU" w:bidi="ru-RU"/>
          <w:w w:val="100"/>
          <w:spacing w:val="0"/>
          <w:color w:val="000000"/>
          <w:position w:val="0"/>
        </w:rPr>
        <w:t>членов комиссии:</w:t>
      </w:r>
    </w:p>
    <w:p>
      <w:pPr>
        <w:pStyle w:val="Style6"/>
        <w:widowControl w:val="0"/>
        <w:keepNext w:val="0"/>
        <w:keepLines w:val="0"/>
        <w:shd w:val="clear" w:color="auto" w:fill="auto"/>
        <w:bidi w:val="0"/>
        <w:jc w:val="both"/>
        <w:spacing w:before="0" w:after="0" w:line="295" w:lineRule="exact"/>
        <w:ind w:left="20" w:right="0" w:firstLine="0"/>
      </w:pPr>
      <w:r>
        <w:rPr>
          <w:lang w:val="ru-RU" w:eastAsia="ru-RU" w:bidi="ru-RU"/>
          <w:w w:val="100"/>
          <w:spacing w:val="0"/>
          <w:color w:val="000000"/>
          <w:position w:val="0"/>
        </w:rPr>
        <w:t>Лосева В.Г.,</w:t>
      </w:r>
    </w:p>
    <w:p>
      <w:pPr>
        <w:pStyle w:val="Style6"/>
        <w:widowControl w:val="0"/>
        <w:keepNext w:val="0"/>
        <w:keepLines w:val="0"/>
        <w:shd w:val="clear" w:color="auto" w:fill="auto"/>
        <w:bidi w:val="0"/>
        <w:jc w:val="both"/>
        <w:spacing w:before="0" w:after="0" w:line="295" w:lineRule="exact"/>
        <w:ind w:left="20" w:right="0" w:firstLine="0"/>
      </w:pPr>
      <w:r>
        <w:rPr>
          <w:lang w:val="ru-RU" w:eastAsia="ru-RU" w:bidi="ru-RU"/>
          <w:w w:val="100"/>
          <w:spacing w:val="0"/>
          <w:color w:val="000000"/>
          <w:position w:val="0"/>
        </w:rPr>
        <w:t>Саналовой О.В.,</w:t>
      </w:r>
    </w:p>
    <w:p>
      <w:pPr>
        <w:pStyle w:val="Style6"/>
        <w:widowControl w:val="0"/>
        <w:keepNext w:val="0"/>
        <w:keepLines w:val="0"/>
        <w:shd w:val="clear" w:color="auto" w:fill="auto"/>
        <w:bidi w:val="0"/>
        <w:jc w:val="left"/>
        <w:spacing w:before="0" w:after="0" w:line="295" w:lineRule="exact"/>
        <w:ind w:left="20" w:right="920" w:firstLine="0"/>
      </w:pPr>
      <w:r>
        <w:rPr>
          <w:lang w:val="ru-RU" w:eastAsia="ru-RU" w:bidi="ru-RU"/>
          <w:w w:val="100"/>
          <w:spacing w:val="0"/>
          <w:color w:val="000000"/>
          <w:position w:val="0"/>
        </w:rPr>
        <w:t>Некрасовой Л.А Насоновой В.К.,</w:t>
      </w:r>
    </w:p>
    <w:p>
      <w:pPr>
        <w:pStyle w:val="Style6"/>
        <w:widowControl w:val="0"/>
        <w:keepNext w:val="0"/>
        <w:keepLines w:val="0"/>
        <w:shd w:val="clear" w:color="auto" w:fill="auto"/>
        <w:bidi w:val="0"/>
        <w:jc w:val="left"/>
        <w:spacing w:before="0" w:after="0" w:line="295" w:lineRule="exact"/>
        <w:ind w:left="20" w:right="0" w:firstLine="0"/>
      </w:pPr>
      <w:r>
        <w:rPr>
          <w:lang w:val="ru-RU" w:eastAsia="ru-RU" w:bidi="ru-RU"/>
          <w:w w:val="100"/>
          <w:spacing w:val="0"/>
          <w:color w:val="000000"/>
          <w:position w:val="0"/>
        </w:rPr>
        <w:t>Вилесовой А.А., при участии представителей:</w:t>
      </w:r>
    </w:p>
    <w:p>
      <w:pPr>
        <w:pStyle w:val="Style6"/>
        <w:numPr>
          <w:ilvl w:val="0"/>
          <w:numId w:val="1"/>
        </w:numPr>
        <w:widowControl w:val="0"/>
        <w:keepNext w:val="0"/>
        <w:keepLines w:val="0"/>
        <w:shd w:val="clear" w:color="auto" w:fill="auto"/>
        <w:bidi w:val="0"/>
        <w:jc w:val="both"/>
        <w:spacing w:before="0" w:after="0" w:line="295" w:lineRule="exact"/>
        <w:ind w:left="20" w:right="300" w:firstLine="0"/>
      </w:pPr>
      <w:r>
        <w:rPr>
          <w:lang w:val="ru-RU" w:eastAsia="ru-RU" w:bidi="ru-RU"/>
          <w:w w:val="100"/>
          <w:spacing w:val="0"/>
          <w:color w:val="000000"/>
          <w:position w:val="0"/>
        </w:rPr>
        <w:t xml:space="preserve"> уполномоченного органа и аукционной комиссии Администрации Города Томска Комогорцева А.В. (доверенность № 8703 от 30.12.2016) (далее - Аукционная комиссия),</w:t>
      </w:r>
    </w:p>
    <w:p>
      <w:pPr>
        <w:pStyle w:val="Style6"/>
        <w:numPr>
          <w:ilvl w:val="0"/>
          <w:numId w:val="1"/>
        </w:numPr>
        <w:widowControl w:val="0"/>
        <w:keepNext w:val="0"/>
        <w:keepLines w:val="0"/>
        <w:shd w:val="clear" w:color="auto" w:fill="auto"/>
        <w:bidi w:val="0"/>
        <w:jc w:val="both"/>
        <w:spacing w:before="0" w:after="0" w:line="295" w:lineRule="exact"/>
        <w:ind w:left="20" w:right="300" w:firstLine="0"/>
      </w:pPr>
      <w:r>
        <w:rPr>
          <w:lang w:val="ru-RU" w:eastAsia="ru-RU" w:bidi="ru-RU"/>
          <w:w w:val="100"/>
          <w:spacing w:val="0"/>
          <w:color w:val="000000"/>
          <w:position w:val="0"/>
        </w:rPr>
        <w:t xml:space="preserve"> Департамента капитального строительства Администрации Города Томска (далее - Заказчик) Захаровой О. А. (доверенность №40 от 03.03.2017), Филипповой Н.Н. (доверенность №63 от 05.05.2017),</w:t>
      </w:r>
    </w:p>
    <w:p>
      <w:pPr>
        <w:pStyle w:val="Style6"/>
        <w:widowControl w:val="0"/>
        <w:keepNext w:val="0"/>
        <w:keepLines w:val="0"/>
        <w:shd w:val="clear" w:color="auto" w:fill="auto"/>
        <w:bidi w:val="0"/>
        <w:jc w:val="both"/>
        <w:spacing w:before="0" w:after="68" w:line="295" w:lineRule="exact"/>
        <w:ind w:left="20" w:right="300" w:firstLine="0"/>
      </w:pPr>
      <w:r>
        <w:rPr>
          <w:lang w:val="ru-RU" w:eastAsia="ru-RU" w:bidi="ru-RU"/>
          <w:w w:val="100"/>
          <w:spacing w:val="0"/>
          <w:color w:val="000000"/>
          <w:position w:val="0"/>
        </w:rPr>
        <w:t>без участия НОЧУ ДПО «Учебно-методический центр «Эко-Сфера» (далее - Заявитель, Общество), уведомленного о времени и месте рассмотрения дела и направившего ходатайство о рассмотрении дела №03-10/85-17 без его участия (вх.№2657 от 03.05.2017), рассмотрев на основании ст.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 дело №03-10/85-17, возбужденное го жалобе НОЧУ ДПО «Учебно-методический центр «Эко-Сфера» на действия аукционной комиссии при проведении электронного аукциона «Выполнение проектных рабст по объекту: «Капитальный ремонт МАОУ СОТ 11 № 53 г. Томска» (извещение № 0 165300010517000128),</w:t>
      </w:r>
    </w:p>
    <w:p>
      <w:pPr>
        <w:pStyle w:val="Style30"/>
        <w:widowControl w:val="0"/>
        <w:keepNext/>
        <w:keepLines/>
        <w:shd w:val="clear" w:color="auto" w:fill="auto"/>
        <w:bidi w:val="0"/>
        <w:jc w:val="left"/>
        <w:spacing w:before="0" w:after="0" w:line="360" w:lineRule="exact"/>
        <w:ind w:left="8360" w:right="0" w:firstLine="0"/>
      </w:pPr>
      <w:bookmarkStart w:id="1" w:name="bookmark1"/>
      <w:r>
        <w:rPr>
          <w:lang w:val="ru-RU" w:eastAsia="ru-RU" w:bidi="ru-RU"/>
          <w:w w:val="100"/>
          <w:color w:val="000000"/>
          <w:position w:val="0"/>
        </w:rPr>
        <w:t>002723</w:t>
      </w:r>
      <w:bookmarkEnd w:id="1"/>
      <w:r>
        <w:br w:type="page"/>
      </w:r>
    </w:p>
    <w:p>
      <w:pPr>
        <w:pStyle w:val="Style6"/>
        <w:widowControl w:val="0"/>
        <w:keepNext w:val="0"/>
        <w:keepLines w:val="0"/>
        <w:shd w:val="clear" w:color="auto" w:fill="auto"/>
        <w:bidi w:val="0"/>
        <w:jc w:val="left"/>
        <w:spacing w:before="0" w:after="205" w:line="230" w:lineRule="exact"/>
        <w:ind w:left="4740" w:right="0" w:firstLine="0"/>
      </w:pPr>
      <w:r>
        <w:rPr>
          <w:lang w:val="ru-RU" w:eastAsia="ru-RU" w:bidi="ru-RU"/>
          <w:w w:val="100"/>
          <w:spacing w:val="0"/>
          <w:color w:val="000000"/>
          <w:position w:val="0"/>
        </w:rPr>
        <w:t>УСТАНОВИЛА:</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02.05.2017 в адрес Томского УФАС России поступила жалоба НОЧУ ДПО «Учебно</w:t>
        <w:softHyphen/>
        <w:t>методический пентр «Эко-Сфера» (вх.№2631 от 02.05.2017) по обжалованию действий аукционной комиссии уполномоченного органа Администрации города Томска при проведении электронного аукциона «Выполнение проектных работ по объекту: «Капитальный ремонт МАОУ СОШ № 53 г.Томска» (извещение № 0165300010517000128), нарушающих, по мнению заявителя, положения Закона 44-ФЗ. Жалоба подана должным образом и соответствует требованиям ст. 105 Закона 44-ФЗ.</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В жалобе заявитель сообщает, что аукционная комиссия отказала в допуске к участию в электронном аукционе (извещение №0165300010517000128) участнику закупки НОЧУ ДПО «Учебно-методический центр «Эко-Сфера» в нарушение п.1 ч.б ст.69 Закона 44-ФЗ, поскольку заявка Общества составлена в соответствии с требованиями Закона 44-ФЗ и документации об электронном аукционе.</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Сведения о НОЧУ ДПО «Учебно-методический центр «Эко-Сфера» внесены в ЕГРЮЛ 09.06.2007. В выписке из ЕГРЮЛ у некоммерческих организаций остаются сведения только о первом учредителе, далее изменения уже не вносятся Федеральной налоговой службой.</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В силу того, что регистрация сведений в ЕГРЮЛ о НОЧУ ДПО «Учебно</w:t>
        <w:softHyphen/>
        <w:t>методический центр «Эко-Сфера» произошла 09.06.2007, на тот период порядок выхода из состава участником некоммерческих организаций был не регламентирован.</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С учетом изложенного, НОЧУ ДПО «Учебно-методический центр «Эко-Сфера» просит обязать организатора закупки признать вторую часть заявки НОЧУ ДПО «Учебно</w:t>
        <w:softHyphen/>
        <w:t>методический центр «Эко-Сфера» соответствующей требованиям извещения и документации о закупке.</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Представитель аукционной комиссии поддержал доводы, изложенные в письменном отзыве, представленном ранее в Томское УФАС России (вх.№2716 от 04.05.2017), указав, что действия аукционной комиссии соответствуют требованиям ст.69 Закона 44-ФЗ, поскольку в заявке НОЧУ ДПО «Учебно-методический центр «Эко-Сфера» не представлены документы и информация, которые предусмотрены пунктами 1, 3 - 5, 7 и 8 ч.2 ст.62, ч.ч.З и 5 ст.66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 Единой комиссией при рассмотрении вторых частей заявок установлен факт наличия недостоверных сведений в представленных в заявке документах, а именно: в представленной выписке из ЕГРЮЛ и в выписке, запрошенной с официального сайта Федеральной налоговой службы на дату рассмотрения заявки, единственным учредителем выступает ООО «МУЛЬТИПРИБОР», в остальных, представленных документах в составе заявки участника закупки, единственным учредителем выступает ООО «ЦАРМ».</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На основании изложенного, представитель аукционной комиссии просил признать жалобу НОЧУ ДПО «Учебно-методический центр «Эко-Сфера» необоснованной.</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Заказчик на заседании Комиссии Томского УФАС России поддержал доводы аукционной комиссии, сообщил, что считает действия аукционной комиссии по отказу в допуске участника электронного аукциона НОЧУ ДПО «Учебно-методический центр «Эко-Сфера» к участию в данной закупке правомерными.</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Изучив доводы жалобы НОЧУ ДПО «Учебно-методический центр «Эко-Сфера», письменные пояснения заказчика, заслушав в ходе рассмотрения дела №03-10/85-17 представителей заказчика и аукционной комиссии, а также проведя внеплановую проверку на основании ч.15 ст.99 Закона 44-ФЗ всех материалов закупки №0165300010517000128, Комиссия Томского УФАС России установила:</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Извещение №0165300010517000128 о проведении электронного аукциона и документация электронного аукциона опубликованы на Официальном сайте Единой информационной системы в сфере закупок (далее - Официальный сайт) - 28.03.2017.</w:t>
      </w:r>
    </w:p>
    <w:p>
      <w:pPr>
        <w:pStyle w:val="Style6"/>
        <w:widowControl w:val="0"/>
        <w:keepNext w:val="0"/>
        <w:keepLines w:val="0"/>
        <w:shd w:val="clear" w:color="auto" w:fill="auto"/>
        <w:bidi w:val="0"/>
        <w:jc w:val="both"/>
        <w:spacing w:before="0" w:after="0" w:line="295" w:lineRule="exact"/>
        <w:ind w:left="20" w:right="0" w:firstLine="560"/>
      </w:pPr>
      <w:r>
        <w:rPr>
          <w:lang w:val="ru-RU" w:eastAsia="ru-RU" w:bidi="ru-RU"/>
          <w:w w:val="100"/>
          <w:spacing w:val="0"/>
          <w:color w:val="000000"/>
          <w:position w:val="0"/>
        </w:rPr>
        <w:t>Идентификационный код закупки - 173701700384570170100100330017112243.</w:t>
      </w:r>
    </w:p>
    <w:p>
      <w:pPr>
        <w:pStyle w:val="Style6"/>
        <w:widowControl w:val="0"/>
        <w:keepNext w:val="0"/>
        <w:keepLines w:val="0"/>
        <w:shd w:val="clear" w:color="auto" w:fill="auto"/>
        <w:bidi w:val="0"/>
        <w:jc w:val="both"/>
        <w:spacing w:before="0" w:after="0" w:line="295" w:lineRule="exact"/>
        <w:ind w:left="20" w:right="0" w:firstLine="560"/>
      </w:pPr>
      <w:r>
        <w:rPr>
          <w:lang w:val="ru-RU" w:eastAsia="ru-RU" w:bidi="ru-RU"/>
          <w:w w:val="100"/>
          <w:spacing w:val="0"/>
          <w:color w:val="000000"/>
          <w:position w:val="0"/>
        </w:rPr>
        <w:t>Начальная (максимальная) цена контракта - 4 861 644, 33 рублей.</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Объект закупки - выполнение проектных работ по объекту: «Капитальный ремонт МАОУ СОШ № 53 г. Томска».</w:t>
      </w:r>
    </w:p>
    <w:p>
      <w:pPr>
        <w:pStyle w:val="Style6"/>
        <w:widowControl w:val="0"/>
        <w:keepNext w:val="0"/>
        <w:keepLines w:val="0"/>
        <w:shd w:val="clear" w:color="auto" w:fill="auto"/>
        <w:bidi w:val="0"/>
        <w:jc w:val="both"/>
        <w:spacing w:before="0" w:after="0" w:line="295" w:lineRule="exact"/>
        <w:ind w:left="20" w:right="0" w:firstLine="560"/>
      </w:pPr>
      <w:r>
        <w:rPr>
          <w:lang w:val="ru-RU" w:eastAsia="ru-RU" w:bidi="ru-RU"/>
          <w:w w:val="100"/>
          <w:spacing w:val="0"/>
          <w:color w:val="000000"/>
          <w:position w:val="0"/>
        </w:rPr>
        <w:t>Заказчик - Департамент капитального строительства Администрации Города Томска.</w:t>
      </w:r>
    </w:p>
    <w:p>
      <w:pPr>
        <w:pStyle w:val="Style6"/>
        <w:widowControl w:val="0"/>
        <w:keepNext w:val="0"/>
        <w:keepLines w:val="0"/>
        <w:shd w:val="clear" w:color="auto" w:fill="auto"/>
        <w:bidi w:val="0"/>
        <w:jc w:val="both"/>
        <w:spacing w:before="0" w:after="0" w:line="295" w:lineRule="exact"/>
        <w:ind w:left="20" w:right="0" w:firstLine="560"/>
      </w:pPr>
      <w:r>
        <w:rPr>
          <w:lang w:val="ru-RU" w:eastAsia="ru-RU" w:bidi="ru-RU"/>
          <w:w w:val="100"/>
          <w:spacing w:val="0"/>
          <w:color w:val="000000"/>
          <w:position w:val="0"/>
        </w:rPr>
        <w:t>Уполномоченный орган - Администрация Города Томска.</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В соответствии с п.2 ч.1 ст.64 Закона 44-ФЗ документация об электронном аукционе наряду с информацией, указанной в извещении о проведении такого аукциона, должна содержать треб звания к содержанию, составу заявки на участие в таком аукционе в соответствии с ч.ч.З-б ст.66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Согласно п.1 ч.б ст.69 Закона 44-ФЗ заявка на участие в электронном аукционе признается не :оответствующей требованиям, установленным документацией о таком аукционе, в случае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 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В соответствии с пунктами 1, 3 - 5, 7 и 8 части 2 статьи 62 Закона 44-ФЗ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 а именно: наименование участника такого аукциона (для юридического лица), фамилия, имя, отчество (при наличии) участника такого аукциона (для физическог о лица);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агаиюг идентификационного номера налогоплательщика участника такого аукциона (для иностранного лица);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язь 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 копии документов, подтверждающих полномочия лица на осуществление от имени участника такого аукциона - юридического лица действий по участию в так IX аукционах (в том числе на регистрацию на таких аукционах) в соответствии с пунктом 5 части 2 статьи 61 настоящего Федерального закона;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пунктом 8 части 2 статьи 61 настоящего Федерального закона.</w:t>
      </w:r>
    </w:p>
    <w:p>
      <w:pPr>
        <w:pStyle w:val="Style6"/>
        <w:widowControl w:val="0"/>
        <w:keepNext w:val="0"/>
        <w:keepLines w:val="0"/>
        <w:shd w:val="clear" w:color="auto" w:fill="auto"/>
        <w:bidi w:val="0"/>
        <w:jc w:val="both"/>
        <w:spacing w:before="0" w:after="0" w:line="295" w:lineRule="exact"/>
        <w:ind w:left="20" w:right="0" w:firstLine="560"/>
      </w:pPr>
      <w:r>
        <w:rPr>
          <w:lang w:val="ru-RU" w:eastAsia="ru-RU" w:bidi="ru-RU"/>
          <w:w w:val="100"/>
          <w:spacing w:val="0"/>
          <w:color w:val="000000"/>
          <w:position w:val="0"/>
        </w:rPr>
        <w:t>К учредительным документам в соответствии со ст. 14 Федерального закона №7-ФЗ «О некоммерческих организациях» (далее - Закон 7-ФЗ) относится Устав, утвержденный учредителями (участниками, собственником имущества) для общественной организации (объединения), фонда, некоммерческого партнерства, автономной некоммерческой организации, частного или бюджетного учреждения.</w:t>
      </w:r>
    </w:p>
    <w:p>
      <w:pPr>
        <w:pStyle w:val="Style6"/>
        <w:widowControl w:val="0"/>
        <w:keepNext w:val="0"/>
        <w:keepLines w:val="0"/>
        <w:shd w:val="clear" w:color="auto" w:fill="auto"/>
        <w:bidi w:val="0"/>
        <w:jc w:val="both"/>
        <w:spacing w:before="0" w:after="0" w:line="295" w:lineRule="exact"/>
        <w:ind w:left="40" w:right="40" w:firstLine="560"/>
      </w:pPr>
      <w:r>
        <w:rPr>
          <w:lang w:val="ru-RU" w:eastAsia="ru-RU" w:bidi="ru-RU"/>
          <w:w w:val="100"/>
          <w:spacing w:val="0"/>
          <w:color w:val="000000"/>
          <w:position w:val="0"/>
        </w:rPr>
        <w:t>Пунктом 1 7 документации об электронном аукционе установлено, что вторая часть заявки на участие в электронном аукционе должна содержать в том числе: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электронного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электронного аукциона (для иностранного лица), идентификационный номер налогоплательщика (при наличии) учредителей, чпенов коллегиального исполнительного органа, лица, исполняющего функции единоличного исполнительного органа участника электронного аукциона.</w:t>
      </w:r>
    </w:p>
    <w:p>
      <w:pPr>
        <w:pStyle w:val="Style6"/>
        <w:widowControl w:val="0"/>
        <w:keepNext w:val="0"/>
        <w:keepLines w:val="0"/>
        <w:shd w:val="clear" w:color="auto" w:fill="auto"/>
        <w:bidi w:val="0"/>
        <w:jc w:val="both"/>
        <w:spacing w:before="0" w:after="0" w:line="295" w:lineRule="exact"/>
        <w:ind w:left="40" w:right="40" w:firstLine="560"/>
      </w:pPr>
      <w:r>
        <w:rPr>
          <w:lang w:val="ru-RU" w:eastAsia="ru-RU" w:bidi="ru-RU"/>
          <w:w w:val="100"/>
          <w:spacing w:val="0"/>
          <w:color w:val="000000"/>
          <w:position w:val="0"/>
        </w:rPr>
        <w:t>Согласно протоколу №313 подведения итогов электронного аукциона № 0165300010517000128 от 19.04.2017 (далее - протокол №313 от 19.04.2017) аукционной комиссией на основании п.1 ч.б ст.69 Закона 44-ФЗ в отношении участника закупки, порядковый номер заявки которого 2 (НОЧУ ДПО «Учебно-методический центр «Эко- Сфера») приняло решение отказать в допуске к участию в электронном аукционе, поскольку в заявке участника закупки «не представлено документов и информации, которые предусмотрены пунктами 1, 3 - 5, 7 и 8 части 2 статьи 62, частями 3 и 5 статьи 66 Федерального закона № 44-ФЗ, несоответствие указанных документов и информации требованиям, зстановленным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 (Отклонен по п.1 ч.б ст.69 44-ФЗ). В документах, представленных участником электронного аукциона, содержится недостоверная информация. В представленных документах участником заявлено, что единственным учредителем НОЧУ ДПО «Учебно-методический центр «Эко-Сфера» выступает ООО «ЦАРМ». При этом в представленной выписке из Единого государственною реестра юридических лиц по состоянию на 03.04.2017 и на 19.04.2017 единственным учредителем НОЧУ ДПО «ЭКО-СФЕРА» выступает Общество с ограниченной ответственностью «МУЛЬТИПРИБОР» (пункты 4, 5, 7 и 8 части 2 статьи 62 Федерального закона №44-ФЗ, пункт 1 части 5 статьи 66 Федерального закона №44-ФЗ, пункт 17 документации об электронном аукционе, вторая часть заявки участника электронного аукциона)».</w:t>
      </w:r>
    </w:p>
    <w:p>
      <w:pPr>
        <w:pStyle w:val="Style6"/>
        <w:widowControl w:val="0"/>
        <w:keepNext w:val="0"/>
        <w:keepLines w:val="0"/>
        <w:shd w:val="clear" w:color="auto" w:fill="auto"/>
        <w:bidi w:val="0"/>
        <w:jc w:val="both"/>
        <w:spacing w:before="0" w:after="0" w:line="295" w:lineRule="exact"/>
        <w:ind w:left="40" w:right="40" w:firstLine="560"/>
      </w:pPr>
      <w:r>
        <w:rPr>
          <w:lang w:val="ru-RU" w:eastAsia="ru-RU" w:bidi="ru-RU"/>
          <w:w w:val="100"/>
          <w:spacing w:val="0"/>
          <w:color w:val="000000"/>
          <w:position w:val="0"/>
        </w:rPr>
        <w:t>Комиссия [омского УФАС России, изучив документацию об электронном аукционе, вторую часть заявки НОЧУ ДПО «Учебно-методический центр «Эко-Сфера» установила, что в своей заявке Общество представило выписку из ЕГРЮЛ по состоянию на 03.04.2017, в которой единственным учредителем некоммерческой организации является ООО «МУЛЬТИПРИБОР», анкету участника закупки, из содержания которой следует, что единственным учредителем некоммерческой организацией является ООО «ЦАРМ».</w:t>
      </w:r>
    </w:p>
    <w:p>
      <w:pPr>
        <w:pStyle w:val="Style6"/>
        <w:widowControl w:val="0"/>
        <w:keepNext w:val="0"/>
        <w:keepLines w:val="0"/>
        <w:shd w:val="clear" w:color="auto" w:fill="auto"/>
        <w:bidi w:val="0"/>
        <w:jc w:val="both"/>
        <w:spacing w:before="0" w:after="0" w:line="295" w:lineRule="exact"/>
        <w:ind w:left="40" w:right="40" w:firstLine="560"/>
      </w:pPr>
      <w:r>
        <w:rPr>
          <w:lang w:val="ru-RU" w:eastAsia="ru-RU" w:bidi="ru-RU"/>
          <w:w w:val="100"/>
          <w:spacing w:val="0"/>
          <w:color w:val="000000"/>
          <w:position w:val="0"/>
        </w:rPr>
        <w:t>Вместе с тем, в материалах дела 03-10/85-17 содержатся сведения и документы об аккредитации участника закупки, в том числе выписка из ЕГРЮЛ по состоянию на 28.11.2014, в которой единственным учредителем является ООО «МУЛЬТИПРИБОР», Устав НОЧУ ДПО «Учебно-методический центр «Эко-Сфера», утвержденный Решением единственного &gt;чредителя №1 от 26.03.2007, внесены изменения решением единственного учредителя №2/14 от 01.07.2014 (далее - Устав), в п. 1.6 которого указано, что учредителем является: Общество с ограниченной ответственностью «ЦАРМ» ОГРН 1124025002837.</w:t>
      </w:r>
    </w:p>
    <w:p>
      <w:pPr>
        <w:pStyle w:val="Style6"/>
        <w:widowControl w:val="0"/>
        <w:keepNext w:val="0"/>
        <w:keepLines w:val="0"/>
        <w:shd w:val="clear" w:color="auto" w:fill="auto"/>
        <w:bidi w:val="0"/>
        <w:jc w:val="both"/>
        <w:spacing w:before="0" w:after="0" w:line="295" w:lineRule="exact"/>
        <w:ind w:left="40" w:right="40" w:firstLine="560"/>
      </w:pPr>
      <w:r>
        <w:rPr>
          <w:lang w:val="ru-RU" w:eastAsia="ru-RU" w:bidi="ru-RU"/>
          <w:w w:val="100"/>
          <w:spacing w:val="0"/>
          <w:color w:val="000000"/>
          <w:position w:val="0"/>
        </w:rPr>
        <w:t>Изменения вносимые в сведения об учредителях в соответствии с ч.5 ст.23 Закона 7- ФЗ приобретают юридическую силу со дня их внесения в единый государственный реестр юридических лиц.</w:t>
      </w:r>
      <w:r>
        <w:br w:type="page"/>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 xml:space="preserve">Разделом 5.2 Устава предусмотрено, что все изменения в Устав учреждения, принимаемые </w:t>
      </w:r>
      <w:r>
        <w:rPr>
          <w:rStyle w:val="CharStyle32"/>
        </w:rPr>
        <w:t xml:space="preserve">учреждением, </w:t>
      </w:r>
      <w:r>
        <w:rPr>
          <w:lang w:val="ru-RU" w:eastAsia="ru-RU" w:bidi="ru-RU"/>
          <w:w w:val="100"/>
          <w:spacing w:val="0"/>
          <w:color w:val="000000"/>
          <w:position w:val="0"/>
        </w:rPr>
        <w:t>подлежат обязательной государственной регистрации в соответствии с действующим законодательством в установленном порядке и сроки.</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Таким образом, при изменении состава учредителей участники должны самостоятельно актуализировать данные учредительных документов .</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На основании изложенного, Комиссия Томского УФАС России пришла к выводу о правомерности действий аукционной комиссии по отказу в допуске к участию в электронном аукционе (извещение №0165300010517000128) участнику закупки, порядковый номер заявки которого 2 (НОЧУ ДПО «Учебно-методический центр «Эко- Сфера»), по основанию, изложенному в протоколе №313 от 19.04.2017, поскольку заявка Общества не соответствует требованиям п.1 ч.б ст.69 Закона 44-ФЗ и требованиям документации о закупке (в части содержания второй части заявки на участие в электронном аукционе), в связи с несоответствием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r>
    </w:p>
    <w:p>
      <w:pPr>
        <w:pStyle w:val="Style6"/>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Проведя внеплановую проверку всех материалов электронного аукциона (извещение №0165300010517000128) и иных действий заказчика, уполномоченного органа и аукционной комиссии не указанных в доводах жалобы, Комиссия Томского УФАС России не выявила нару шений законодательства о контрактной системе в сфере закупок.</w:t>
      </w:r>
    </w:p>
    <w:p>
      <w:pPr>
        <w:pStyle w:val="Style6"/>
        <w:widowControl w:val="0"/>
        <w:keepNext w:val="0"/>
        <w:keepLines w:val="0"/>
        <w:shd w:val="clear" w:color="auto" w:fill="auto"/>
        <w:bidi w:val="0"/>
        <w:jc w:val="both"/>
        <w:spacing w:before="0" w:after="232" w:line="295" w:lineRule="exact"/>
        <w:ind w:left="20" w:right="20" w:firstLine="560"/>
      </w:pPr>
      <w:r>
        <w:rPr>
          <w:lang w:val="ru-RU" w:eastAsia="ru-RU" w:bidi="ru-RU"/>
          <w:w w:val="100"/>
          <w:spacing w:val="0"/>
          <w:color w:val="000000"/>
          <w:position w:val="0"/>
        </w:rPr>
        <w:t>Руководствуясь ст.ст.64, 66, 67, 99, 105, 106 Закона 44-ФЗ, п.3.40 Административного регламента, Комиссия Томского УФАС России,</w:t>
      </w:r>
    </w:p>
    <w:p>
      <w:pPr>
        <w:pStyle w:val="Style6"/>
        <w:widowControl w:val="0"/>
        <w:keepNext w:val="0"/>
        <w:keepLines w:val="0"/>
        <w:shd w:val="clear" w:color="auto" w:fill="auto"/>
        <w:bidi w:val="0"/>
        <w:jc w:val="left"/>
        <w:spacing w:before="0" w:after="209" w:line="230" w:lineRule="exact"/>
        <w:ind w:left="4800" w:right="0" w:firstLine="0"/>
      </w:pPr>
      <w:r>
        <w:rPr>
          <w:lang w:val="ru-RU" w:eastAsia="ru-RU" w:bidi="ru-RU"/>
          <w:w w:val="100"/>
          <w:spacing w:val="0"/>
          <w:color w:val="000000"/>
          <w:position w:val="0"/>
        </w:rPr>
        <w:t>РЕШИЛА:</w:t>
      </w:r>
    </w:p>
    <w:p>
      <w:pPr>
        <w:pStyle w:val="Style6"/>
        <w:widowControl w:val="0"/>
        <w:keepNext w:val="0"/>
        <w:keepLines w:val="0"/>
        <w:shd w:val="clear" w:color="auto" w:fill="auto"/>
        <w:bidi w:val="0"/>
        <w:jc w:val="both"/>
        <w:spacing w:before="0" w:after="0" w:line="295" w:lineRule="exact"/>
        <w:ind w:left="20" w:right="20" w:firstLine="560"/>
        <w:sectPr>
          <w:type w:val="continuous"/>
          <w:pgSz w:w="11906" w:h="16838"/>
          <w:pgMar w:top="624" w:left="566" w:right="566" w:bottom="689" w:header="0" w:footer="3" w:gutter="266"/>
          <w:rtlGutter w:val="0"/>
          <w:cols w:space="720"/>
          <w:noEndnote/>
          <w:docGrid w:linePitch="360"/>
        </w:sectPr>
      </w:pPr>
      <w:r>
        <w:rPr>
          <w:lang w:val="ru-RU" w:eastAsia="ru-RU" w:bidi="ru-RU"/>
          <w:w w:val="100"/>
          <w:spacing w:val="0"/>
          <w:color w:val="000000"/>
          <w:position w:val="0"/>
        </w:rPr>
        <w:t xml:space="preserve">Признать жалобу НОЧУ ДПО «Учебно-методический центр «Эко-Сфера» на действия аукционной комиссии Администрации горюпа Томска при проведении электронного а&gt;кциона «Выполнение проектных работ </w:t>
      </w:r>
      <w:r>
        <w:rPr>
          <w:lang w:val="en-US" w:eastAsia="en-US" w:bidi="en-US"/>
          <w:w w:val="100"/>
          <w:spacing w:val="0"/>
          <w:color w:val="000000"/>
          <w:position w:val="0"/>
        </w:rPr>
        <w:t xml:space="preserve">nq </w:t>
      </w:r>
      <w:r>
        <w:rPr>
          <w:lang w:val="ru-RU" w:eastAsia="ru-RU" w:bidi="ru-RU"/>
          <w:w w:val="100"/>
          <w:spacing w:val="0"/>
          <w:color w:val="000000"/>
          <w:position w:val="0"/>
        </w:rPr>
        <w:t>объекту: «Капитальный ремонт МАОУ СОШ № 53 г. Томска» (извещение №016530001051|7(100128) необоснованной.</w:t>
      </w:r>
    </w:p>
    <w:p>
      <w:pPr>
        <w:widowControl w:val="0"/>
        <w:spacing w:before="59" w:after="5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w="2781" w:h="1363" w:wrap="around" w:hAnchor="margin" w:x="-6385" w:y="9113"/>
        <w:widowControl w:val="0"/>
        <w:keepNext w:val="0"/>
        <w:keepLines w:val="0"/>
        <w:shd w:val="clear" w:color="auto" w:fill="auto"/>
        <w:bidi w:val="0"/>
        <w:jc w:val="left"/>
        <w:spacing w:before="0" w:after="866" w:line="210" w:lineRule="exact"/>
        <w:ind w:left="0" w:right="0" w:firstLine="0"/>
      </w:pPr>
      <w:r>
        <w:rPr>
          <w:rStyle w:val="CharStyle28"/>
          <w:spacing w:val="0"/>
        </w:rPr>
        <w:t>Председатель комиссии</w:t>
      </w:r>
    </w:p>
    <w:p>
      <w:pPr>
        <w:pStyle w:val="Style6"/>
        <w:framePr w:w="2781" w:h="1363" w:wrap="around" w:hAnchor="margin" w:x="-6385" w:y="9113"/>
        <w:widowControl w:val="0"/>
        <w:keepNext w:val="0"/>
        <w:keepLines w:val="0"/>
        <w:shd w:val="clear" w:color="auto" w:fill="auto"/>
        <w:bidi w:val="0"/>
        <w:jc w:val="left"/>
        <w:spacing w:before="0" w:after="0" w:line="210" w:lineRule="exact"/>
        <w:ind w:left="0" w:right="0" w:firstLine="0"/>
      </w:pPr>
      <w:r>
        <w:rPr>
          <w:rStyle w:val="CharStyle28"/>
          <w:spacing w:val="0"/>
        </w:rPr>
        <w:t>Члены комиссии</w:t>
      </w:r>
    </w:p>
    <w:p>
      <w:pPr>
        <w:pStyle w:val="Style6"/>
        <w:widowControl w:val="0"/>
        <w:keepNext w:val="0"/>
        <w:keepLines w:val="0"/>
        <w:shd w:val="clear" w:color="auto" w:fill="auto"/>
        <w:bidi w:val="0"/>
        <w:jc w:val="left"/>
        <w:spacing w:before="0" w:after="572" w:line="230" w:lineRule="exact"/>
        <w:ind w:left="0" w:right="0" w:firstLine="0"/>
      </w:pPr>
      <w:r>
        <w:rPr>
          <w:lang w:val="ru-RU" w:eastAsia="ru-RU" w:bidi="ru-RU"/>
          <w:w w:val="100"/>
          <w:spacing w:val="0"/>
          <w:color w:val="000000"/>
          <w:position w:val="0"/>
        </w:rPr>
        <w:t>Алиев Р.А.</w:t>
      </w:r>
    </w:p>
    <w:p>
      <w:pPr>
        <w:pStyle w:val="Style6"/>
        <w:widowControl w:val="0"/>
        <w:keepNext w:val="0"/>
        <w:keepLines w:val="0"/>
        <w:shd w:val="clear" w:color="auto" w:fill="auto"/>
        <w:bidi w:val="0"/>
        <w:jc w:val="left"/>
        <w:spacing w:before="0" w:after="0" w:line="569" w:lineRule="exact"/>
        <w:ind w:left="0" w:right="240" w:firstLine="0"/>
        <w:sectPr>
          <w:type w:val="continuous"/>
          <w:pgSz w:w="11906" w:h="16838"/>
          <w:pgMar w:top="118" w:left="8190" w:right="1753" w:bottom="1612" w:header="0" w:footer="3" w:gutter="0"/>
          <w:rtlGutter w:val="0"/>
          <w:cols w:space="720"/>
          <w:noEndnote/>
          <w:docGrid w:linePitch="360"/>
        </w:sectPr>
      </w:pPr>
      <w:r>
        <w:rPr>
          <w:lang w:val="ru-RU" w:eastAsia="ru-RU" w:bidi="ru-RU"/>
          <w:w w:val="100"/>
          <w:spacing w:val="0"/>
          <w:color w:val="000000"/>
          <w:position w:val="0"/>
        </w:rPr>
        <w:t>Лосев В.Г. Саналова О.В. Некрасова Л.А. Насонова В.К. Вилесова А.А.</w:t>
      </w:r>
    </w:p>
    <w:p>
      <w:pPr>
        <w:widowControl w:val="0"/>
        <w:spacing w:line="240" w:lineRule="exact"/>
        <w:rPr>
          <w:sz w:val="19"/>
          <w:szCs w:val="19"/>
        </w:rPr>
      </w:pPr>
    </w:p>
    <w:p>
      <w:pPr>
        <w:widowControl w:val="0"/>
        <w:spacing w:line="240" w:lineRule="exact"/>
        <w:rPr>
          <w:sz w:val="19"/>
          <w:szCs w:val="19"/>
        </w:rPr>
      </w:pPr>
    </w:p>
    <w:p>
      <w:pPr>
        <w:widowControl w:val="0"/>
        <w:spacing w:before="91" w:after="9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both"/>
        <w:spacing w:before="0" w:after="0" w:line="223" w:lineRule="exact"/>
        <w:ind w:left="0" w:right="0" w:firstLine="580"/>
      </w:pPr>
      <w:r>
        <w:rPr>
          <w:lang w:val="ru-RU" w:eastAsia="ru-RU" w:bidi="ru-RU"/>
          <w:w w:val="100"/>
          <w:spacing w:val="0"/>
          <w:color w:val="000000"/>
          <w:position w:val="0"/>
        </w:rPr>
        <w:t>В соответствии с ч.9 ст.106 Федерального закона от 05.04.2013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sectPr>
      <w:type w:val="continuous"/>
      <w:pgSz w:w="11906" w:h="16838"/>
      <w:pgMar w:top="118" w:left="849" w:right="856" w:bottom="161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9"/>
      <w:szCs w:val="19"/>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en-US" w:eastAsia="en-US" w:bidi="en-US"/>
      <w:u w:val="single"/>
      <w:w w:val="100"/>
      <w:spacing w:val="0"/>
      <w:color w:val="000000"/>
      <w:position w:val="0"/>
    </w:rPr>
  </w:style>
  <w:style w:type="character" w:customStyle="1" w:styleId="CharStyle13">
    <w:name w:val="Основной текст (3) + 10 pt,Курсив"/>
    <w:basedOn w:val="CharStyle10"/>
    <w:rPr>
      <w:lang w:val="ru-RU" w:eastAsia="ru-RU" w:bidi="ru-RU"/>
      <w:i/>
      <w:iCs/>
      <w:u w:val="single"/>
      <w:sz w:val="20"/>
      <w:szCs w:val="20"/>
      <w:w w:val="100"/>
      <w:spacing w:val="0"/>
      <w:color w:val="000000"/>
      <w:position w:val="0"/>
    </w:rPr>
  </w:style>
  <w:style w:type="character" w:customStyle="1" w:styleId="CharStyle15">
    <w:name w:val="Заголовок №1_"/>
    <w:basedOn w:val="DefaultParagraphFont"/>
    <w:link w:val="Style14"/>
    <w:rPr>
      <w:lang w:val="en-US" w:eastAsia="en-US" w:bidi="en-US"/>
      <w:b/>
      <w:bCs/>
      <w:i/>
      <w:iCs/>
      <w:u w:val="none"/>
      <w:strike w:val="0"/>
      <w:smallCaps w:val="0"/>
      <w:sz w:val="56"/>
      <w:szCs w:val="56"/>
      <w:rFonts w:ascii="Times New Roman" w:eastAsia="Times New Roman" w:hAnsi="Times New Roman" w:cs="Times New Roman"/>
    </w:rPr>
  </w:style>
  <w:style w:type="character" w:customStyle="1" w:styleId="CharStyle16">
    <w:name w:val="Заголовок №1"/>
    <w:basedOn w:val="CharStyle15"/>
    <w:rPr>
      <w:u w:val="single"/>
      <w:w w:val="100"/>
      <w:spacing w:val="0"/>
      <w:color w:val="000000"/>
      <w:position w:val="0"/>
    </w:rPr>
  </w:style>
  <w:style w:type="character" w:customStyle="1" w:styleId="CharStyle17">
    <w:name w:val="Заголовок №1 + Corbel,22 pt,Не полужирный"/>
    <w:basedOn w:val="CharStyle15"/>
    <w:rPr>
      <w:b/>
      <w:bCs/>
      <w:u w:val="single"/>
      <w:sz w:val="44"/>
      <w:szCs w:val="44"/>
      <w:rFonts w:ascii="Corbel" w:eastAsia="Corbel" w:hAnsi="Corbel" w:cs="Corbel"/>
      <w:w w:val="100"/>
      <w:spacing w:val="0"/>
      <w:color w:val="000000"/>
      <w:position w:val="0"/>
    </w:rPr>
  </w:style>
  <w:style w:type="character" w:customStyle="1" w:styleId="CharStyle18">
    <w:name w:val="Заголовок №1 + Corbel,13 pt,Не полужирный,Не курсив,Интервал -1 pt"/>
    <w:basedOn w:val="CharStyle15"/>
    <w:rPr>
      <w:lang w:val="ru-RU" w:eastAsia="ru-RU" w:bidi="ru-RU"/>
      <w:b/>
      <w:bCs/>
      <w:i/>
      <w:iCs/>
      <w:u w:val="single"/>
      <w:sz w:val="26"/>
      <w:szCs w:val="26"/>
      <w:rFonts w:ascii="Corbel" w:eastAsia="Corbel" w:hAnsi="Corbel" w:cs="Corbel"/>
      <w:w w:val="100"/>
      <w:spacing w:val="-20"/>
      <w:color w:val="000000"/>
      <w:position w:val="0"/>
    </w:rPr>
  </w:style>
  <w:style w:type="character" w:customStyle="1" w:styleId="CharStyle19">
    <w:name w:val="Заголовок №1 + Corbel,13 pt,Не полужирный,Не курсив,Интервал -1 pt"/>
    <w:basedOn w:val="CharStyle15"/>
    <w:rPr>
      <w:lang w:val="ru-RU" w:eastAsia="ru-RU" w:bidi="ru-RU"/>
      <w:b/>
      <w:bCs/>
      <w:i/>
      <w:iCs/>
      <w:sz w:val="26"/>
      <w:szCs w:val="26"/>
      <w:rFonts w:ascii="Corbel" w:eastAsia="Corbel" w:hAnsi="Corbel" w:cs="Corbel"/>
      <w:w w:val="100"/>
      <w:spacing w:val="-20"/>
      <w:color w:val="000000"/>
      <w:position w:val="0"/>
    </w:rPr>
  </w:style>
  <w:style w:type="character" w:customStyle="1" w:styleId="CharStyle20">
    <w:name w:val="Заголовок №1 + 8,5 pt,Не полужирный,Не курсив,Интервал -1 pt"/>
    <w:basedOn w:val="CharStyle15"/>
    <w:rPr>
      <w:lang w:val="ru-RU" w:eastAsia="ru-RU" w:bidi="ru-RU"/>
      <w:b/>
      <w:bCs/>
      <w:i/>
      <w:iCs/>
      <w:sz w:val="17"/>
      <w:szCs w:val="17"/>
      <w:w w:val="100"/>
      <w:spacing w:val="-20"/>
      <w:color w:val="000000"/>
      <w:position w:val="0"/>
    </w:rPr>
  </w:style>
  <w:style w:type="character" w:customStyle="1" w:styleId="CharStyle22">
    <w:name w:val="Основной текст (4)_"/>
    <w:basedOn w:val="DefaultParagraphFont"/>
    <w:link w:val="Style21"/>
    <w:rPr>
      <w:lang w:val="en-US" w:eastAsia="en-US" w:bidi="en-US"/>
      <w:b w:val="0"/>
      <w:bCs w:val="0"/>
      <w:i w:val="0"/>
      <w:iCs w:val="0"/>
      <w:u w:val="none"/>
      <w:strike w:val="0"/>
      <w:smallCaps w:val="0"/>
      <w:sz w:val="20"/>
      <w:szCs w:val="20"/>
      <w:rFonts w:ascii="Corbel" w:eastAsia="Corbel" w:hAnsi="Corbel" w:cs="Corbel"/>
    </w:rPr>
  </w:style>
  <w:style w:type="character" w:customStyle="1" w:styleId="CharStyle23">
    <w:name w:val="Основной текст (4) + Интервал -1 pt"/>
    <w:basedOn w:val="CharStyle22"/>
    <w:rPr>
      <w:lang w:val="ru-RU" w:eastAsia="ru-RU" w:bidi="ru-RU"/>
      <w:w w:val="100"/>
      <w:spacing w:val="-20"/>
      <w:color w:val="000000"/>
      <w:position w:val="0"/>
    </w:rPr>
  </w:style>
  <w:style w:type="character" w:customStyle="1" w:styleId="CharStyle24">
    <w:name w:val="Основной текст (4) + Малые прописные,Интервал -1 pt"/>
    <w:basedOn w:val="CharStyle22"/>
    <w:rPr>
      <w:smallCaps/>
      <w:w w:val="100"/>
      <w:spacing w:val="-20"/>
      <w:color w:val="000000"/>
      <w:position w:val="0"/>
    </w:rPr>
  </w:style>
  <w:style w:type="character" w:customStyle="1" w:styleId="CharStyle25">
    <w:name w:val="Основной текст (2)"/>
    <w:basedOn w:val="CharStyle4"/>
    <w:rPr>
      <w:lang w:val="ru-RU" w:eastAsia="ru-RU" w:bidi="ru-RU"/>
      <w:u w:val="single"/>
      <w:w w:val="100"/>
      <w:spacing w:val="0"/>
      <w:color w:val="000000"/>
      <w:position w:val="0"/>
    </w:rPr>
  </w:style>
  <w:style w:type="character" w:customStyle="1" w:styleId="CharStyle26">
    <w:name w:val="Основной текст (2) + 11,5 pt"/>
    <w:basedOn w:val="CharStyle4"/>
    <w:rPr>
      <w:lang w:val="ru-RU" w:eastAsia="ru-RU" w:bidi="ru-RU"/>
      <w:sz w:val="23"/>
      <w:szCs w:val="23"/>
      <w:w w:val="100"/>
      <w:spacing w:val="0"/>
      <w:color w:val="000000"/>
      <w:position w:val="0"/>
    </w:rPr>
  </w:style>
  <w:style w:type="character" w:customStyle="1" w:styleId="CharStyle27">
    <w:name w:val="Основной текст (3) + 10 pt"/>
    <w:basedOn w:val="CharStyle10"/>
    <w:rPr>
      <w:lang w:val="ru-RU" w:eastAsia="ru-RU" w:bidi="ru-RU"/>
      <w:u w:val="single"/>
      <w:sz w:val="20"/>
      <w:szCs w:val="20"/>
      <w:w w:val="100"/>
      <w:spacing w:val="0"/>
      <w:color w:val="000000"/>
      <w:position w:val="0"/>
    </w:rPr>
  </w:style>
  <w:style w:type="character" w:customStyle="1" w:styleId="CharStyle2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8"/>
    </w:rPr>
  </w:style>
  <w:style w:type="character" w:customStyle="1" w:styleId="CharStyle29">
    <w:name w:val="Основной текст + 9,5 pt"/>
    <w:basedOn w:val="CharStyle7"/>
    <w:rPr>
      <w:lang w:val="ru-RU" w:eastAsia="ru-RU" w:bidi="ru-RU"/>
      <w:sz w:val="19"/>
      <w:szCs w:val="19"/>
      <w:w w:val="100"/>
      <w:spacing w:val="0"/>
      <w:color w:val="000000"/>
      <w:position w:val="0"/>
    </w:rPr>
  </w:style>
  <w:style w:type="character" w:customStyle="1" w:styleId="CharStyle31">
    <w:name w:val="Заголовок №2_"/>
    <w:basedOn w:val="DefaultParagraphFont"/>
    <w:link w:val="Style30"/>
    <w:rPr>
      <w:b w:val="0"/>
      <w:bCs w:val="0"/>
      <w:i w:val="0"/>
      <w:iCs w:val="0"/>
      <w:u w:val="none"/>
      <w:strike w:val="0"/>
      <w:smallCaps w:val="0"/>
      <w:sz w:val="36"/>
      <w:szCs w:val="36"/>
      <w:rFonts w:ascii="Times New Roman" w:eastAsia="Times New Roman" w:hAnsi="Times New Roman" w:cs="Times New Roman"/>
      <w:spacing w:val="30"/>
    </w:rPr>
  </w:style>
  <w:style w:type="character" w:customStyle="1" w:styleId="CharStyle32">
    <w:name w:val="Основной текст + Corbel,10 pt"/>
    <w:basedOn w:val="CharStyle7"/>
    <w:rPr>
      <w:lang w:val="ru-RU" w:eastAsia="ru-RU" w:bidi="ru-RU"/>
      <w:sz w:val="20"/>
      <w:szCs w:val="20"/>
      <w:rFonts w:ascii="Corbel" w:eastAsia="Corbel" w:hAnsi="Corbel" w:cs="Corbel"/>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60" w:line="241"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center"/>
      <w:spacing w:before="60" w:after="60" w:line="28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before="60" w:after="60" w:line="22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before="60" w:after="420" w:line="0" w:lineRule="exact"/>
    </w:pPr>
    <w:rPr>
      <w:lang w:val="en-US" w:eastAsia="en-US" w:bidi="en-US"/>
      <w:b/>
      <w:bCs/>
      <w:i/>
      <w:iCs/>
      <w:u w:val="none"/>
      <w:strike w:val="0"/>
      <w:smallCaps w:val="0"/>
      <w:sz w:val="56"/>
      <w:szCs w:val="56"/>
      <w:rFonts w:ascii="Times New Roman" w:eastAsia="Times New Roman" w:hAnsi="Times New Roman" w:cs="Times New Roman"/>
    </w:rPr>
  </w:style>
  <w:style w:type="paragraph" w:customStyle="1" w:styleId="Style21">
    <w:name w:val="Основной текст (4)"/>
    <w:basedOn w:val="Normal"/>
    <w:link w:val="CharStyle22"/>
    <w:pPr>
      <w:widowControl w:val="0"/>
      <w:shd w:val="clear" w:color="auto" w:fill="FFFFFF"/>
      <w:jc w:val="both"/>
      <w:spacing w:before="420" w:line="0" w:lineRule="exact"/>
    </w:pPr>
    <w:rPr>
      <w:lang w:val="en-US" w:eastAsia="en-US" w:bidi="en-US"/>
      <w:b w:val="0"/>
      <w:bCs w:val="0"/>
      <w:i w:val="0"/>
      <w:iCs w:val="0"/>
      <w:u w:val="none"/>
      <w:strike w:val="0"/>
      <w:smallCaps w:val="0"/>
      <w:sz w:val="20"/>
      <w:szCs w:val="20"/>
      <w:rFonts w:ascii="Corbel" w:eastAsia="Corbel" w:hAnsi="Corbel" w:cs="Corbel"/>
    </w:rPr>
  </w:style>
  <w:style w:type="paragraph" w:customStyle="1" w:styleId="Style30">
    <w:name w:val="Заголовок №2"/>
    <w:basedOn w:val="Normal"/>
    <w:link w:val="CharStyle31"/>
    <w:pPr>
      <w:widowControl w:val="0"/>
      <w:shd w:val="clear" w:color="auto" w:fill="FFFFFF"/>
      <w:outlineLvl w:val="1"/>
      <w:spacing w:before="120" w:line="0" w:lineRule="exact"/>
    </w:pPr>
    <w:rPr>
      <w:b w:val="0"/>
      <w:bCs w:val="0"/>
      <w:i w:val="0"/>
      <w:iCs w:val="0"/>
      <w:u w:val="none"/>
      <w:strike w:val="0"/>
      <w:smallCaps w:val="0"/>
      <w:sz w:val="36"/>
      <w:szCs w:val="36"/>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