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43" w:wrap="around" w:vAnchor="text" w:hAnchor="margin" w:x="3678" w:y="4297"/>
        <w:widowControl w:val="0"/>
        <w:keepNext w:val="0"/>
        <w:keepLines w:val="0"/>
        <w:shd w:val="clear" w:color="auto" w:fill="auto"/>
        <w:bidi w:val="0"/>
        <w:jc w:val="left"/>
        <w:spacing w:before="0" w:after="0" w:line="230" w:lineRule="exact"/>
        <w:ind w:left="0" w:right="0" w:firstLine="0"/>
      </w:pPr>
      <w:r>
        <w:rPr>
          <w:rStyle w:val="CharStyle5"/>
          <w:i/>
          <w:iCs/>
        </w:rPr>
        <w:t>6</w:t>
      </w:r>
      <w:r>
        <w:rPr>
          <w:lang w:val="ru-RU" w:eastAsia="ru-RU" w:bidi="ru-RU"/>
          <w:w w:val="100"/>
          <w:spacing w:val="0"/>
          <w:color w:val="000000"/>
          <w:position w:val="0"/>
        </w:rPr>
        <w:t>~</w:t>
      </w:r>
    </w:p>
    <w:p>
      <w:pPr>
        <w:pStyle w:val="Style6"/>
        <w:framePr w:h="240" w:wrap="around" w:vAnchor="text" w:hAnchor="margin" w:x="1262" w:y="4288"/>
        <w:widowControl w:val="0"/>
        <w:keepNext w:val="0"/>
        <w:keepLines w:val="0"/>
        <w:shd w:val="clear" w:color="auto" w:fill="auto"/>
        <w:bidi w:val="0"/>
        <w:jc w:val="left"/>
        <w:spacing w:before="0" w:after="0" w:line="240" w:lineRule="exact"/>
        <w:ind w:left="100" w:right="0" w:firstLine="0"/>
      </w:pPr>
      <w:r>
        <w:rPr>
          <w:rStyle w:val="CharStyle8"/>
          <w:i/>
          <w:iCs/>
          <w:spacing w:val="0"/>
        </w:rPr>
        <w:t>Ю/Х-</w:t>
      </w:r>
      <w:r>
        <w:rPr>
          <w:rStyle w:val="CharStyle9"/>
          <w:i w:val="0"/>
          <w:iCs w:val="0"/>
        </w:rPr>
        <w:t xml:space="preserve"> №</w:t>
      </w:r>
    </w:p>
    <w:p>
      <w:pPr>
        <w:widowControl w:val="0"/>
        <w:rPr>
          <w:sz w:val="2"/>
          <w:szCs w:val="2"/>
        </w:rPr>
      </w:pPr>
    </w:p>
    <w:p>
      <w:pPr>
        <w:pStyle w:val="Style10"/>
        <w:widowControl w:val="0"/>
        <w:keepNext w:val="0"/>
        <w:keepLines w:val="0"/>
        <w:shd w:val="clear" w:color="auto" w:fill="auto"/>
        <w:bidi w:val="0"/>
        <w:spacing w:before="215" w:after="125"/>
        <w:ind w:left="0" w:right="0" w:firstLine="0"/>
      </w:pPr>
      <w:r>
        <w:rPr>
          <w:lang w:val="ru-RU" w:eastAsia="ru-RU" w:bidi="ru-RU"/>
          <w:w w:val="100"/>
          <w:spacing w:val="0"/>
          <w:color w:val="000000"/>
          <w:position w:val="0"/>
        </w:rPr>
        <w:t>ФЕДЕРАЛЬНАЯ АНТИМОНОПОЛЬНАЯ СЛУЖБА</w:t>
      </w:r>
    </w:p>
    <w:p>
      <w:pPr>
        <w:pStyle w:val="Style12"/>
        <w:widowControl w:val="0"/>
        <w:keepNext w:val="0"/>
        <w:keepLines w:val="0"/>
        <w:shd w:val="clear" w:color="auto" w:fill="auto"/>
        <w:bidi w:val="0"/>
        <w:spacing w:before="0" w:after="129"/>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14"/>
        <w:widowControl w:val="0"/>
        <w:keepNext w:val="0"/>
        <w:keepLines w:val="0"/>
        <w:shd w:val="clear" w:color="auto" w:fill="auto"/>
        <w:bidi w:val="0"/>
        <w:jc w:val="left"/>
        <w:spacing w:before="0" w:after="41"/>
        <w:ind w:left="0" w:right="38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6"/>
        <w:widowControl w:val="0"/>
        <w:keepNext/>
        <w:keepLines/>
        <w:shd w:val="clear" w:color="auto" w:fill="auto"/>
        <w:bidi w:val="0"/>
        <w:jc w:val="left"/>
        <w:spacing w:before="0" w:after="0" w:line="380" w:lineRule="exact"/>
        <w:ind w:left="0" w:right="0" w:firstLine="0"/>
      </w:pPr>
      <w:bookmarkStart w:id="0" w:name="bookmark0"/>
      <w:r>
        <w:rPr>
          <w:rStyle w:val="CharStyle18"/>
          <w:i/>
          <w:iCs/>
        </w:rPr>
        <w:t>sew</w:t>
      </w:r>
      <w:r>
        <w:rPr>
          <w:rStyle w:val="CharStyle18"/>
          <w:lang w:val="ru-RU" w:eastAsia="ru-RU" w:bidi="ru-RU"/>
          <w:i/>
          <w:iCs/>
        </w:rPr>
        <w:t>/о</w:t>
      </w:r>
      <w:bookmarkEnd w:id="0"/>
    </w:p>
    <w:p>
      <w:pPr>
        <w:pStyle w:val="Style19"/>
        <w:widowControl w:val="0"/>
        <w:keepNext w:val="0"/>
        <w:keepLines w:val="0"/>
        <w:shd w:val="clear" w:color="auto" w:fill="auto"/>
        <w:bidi w:val="0"/>
        <w:jc w:val="left"/>
        <w:spacing w:before="0" w:after="8" w:line="220" w:lineRule="exact"/>
        <w:ind w:left="20" w:right="0" w:firstLine="0"/>
      </w:pPr>
      <w:r>
        <w:rPr>
          <w:lang w:val="ru-RU" w:eastAsia="ru-RU" w:bidi="ru-RU"/>
          <w:w w:val="100"/>
          <w:spacing w:val="0"/>
          <w:color w:val="000000"/>
          <w:position w:val="0"/>
        </w:rPr>
        <w:t>ООО «АнтАлекс»</w:t>
      </w:r>
    </w:p>
    <w:p>
      <w:pPr>
        <w:pStyle w:val="Style19"/>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(Заявитель)</w:t>
      </w:r>
    </w:p>
    <w:p>
      <w:pPr>
        <w:pStyle w:val="Style19"/>
        <w:widowControl w:val="0"/>
        <w:keepNext w:val="0"/>
        <w:keepLines w:val="0"/>
        <w:shd w:val="clear" w:color="auto" w:fill="auto"/>
        <w:bidi w:val="0"/>
        <w:jc w:val="left"/>
        <w:spacing w:before="0" w:after="240" w:line="278" w:lineRule="exact"/>
        <w:ind w:left="20" w:right="0" w:firstLine="0"/>
      </w:pPr>
      <w:r>
        <w:rPr>
          <w:lang w:val="ru-RU" w:eastAsia="ru-RU" w:bidi="ru-RU"/>
          <w:w w:val="100"/>
          <w:spacing w:val="0"/>
          <w:color w:val="000000"/>
          <w:position w:val="0"/>
        </w:rPr>
        <w:t xml:space="preserve">352800, Краснодарский край, Туапсинский район, г. Туапсе, ул. Маршала Жукова, 29 (86167) 6-04-40 </w:t>
      </w:r>
      <w:r>
        <w:rPr>
          <w:lang w:val="en-US" w:eastAsia="en-US" w:bidi="en-US"/>
          <w:w w:val="100"/>
          <w:spacing w:val="0"/>
          <w:color w:val="000000"/>
          <w:position w:val="0"/>
        </w:rPr>
        <w:t xml:space="preserve">tendermanager </w:t>
      </w:r>
      <w:r>
        <w:rPr>
          <w:lang w:val="ru-RU" w:eastAsia="ru-RU" w:bidi="ru-RU"/>
          <w:w w:val="100"/>
          <w:spacing w:val="0"/>
          <w:color w:val="000000"/>
          <w:position w:val="0"/>
        </w:rPr>
        <w:t xml:space="preserve">1 </w:t>
      </w:r>
      <w:r>
        <w:rPr>
          <w:lang w:val="en-US" w:eastAsia="en-US" w:bidi="en-US"/>
          <w:w w:val="100"/>
          <w:spacing w:val="0"/>
          <w:color w:val="000000"/>
          <w:position w:val="0"/>
        </w:rPr>
        <w:t>@antaleks.info</w:t>
      </w:r>
    </w:p>
    <w:p>
      <w:pPr>
        <w:pStyle w:val="Style19"/>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Муниципальное бюджетное учреждение г. Азова «Чистый город»</w:t>
      </w:r>
    </w:p>
    <w:p>
      <w:pPr>
        <w:pStyle w:val="Style19"/>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(Заказчик; ИНН 6140031948)</w:t>
      </w:r>
    </w:p>
    <w:p>
      <w:pPr>
        <w:pStyle w:val="Style19"/>
        <w:widowControl w:val="0"/>
        <w:keepNext w:val="0"/>
        <w:keepLines w:val="0"/>
        <w:shd w:val="clear" w:color="auto" w:fill="auto"/>
        <w:bidi w:val="0"/>
        <w:jc w:val="left"/>
        <w:spacing w:before="0" w:after="236" w:line="274" w:lineRule="exact"/>
        <w:ind w:left="20" w:right="0" w:firstLine="0"/>
      </w:pPr>
      <w:r>
        <w:rPr>
          <w:lang w:val="ru-RU" w:eastAsia="ru-RU" w:bidi="ru-RU"/>
          <w:w w:val="100"/>
          <w:spacing w:val="0"/>
          <w:color w:val="000000"/>
          <w:position w:val="0"/>
        </w:rPr>
        <w:t xml:space="preserve">346780, Ростовская область, г. Азов, ул. Московская, 23 8-86342-46697 </w:t>
      </w:r>
      <w:r>
        <w:fldChar w:fldCharType="begin"/>
      </w:r>
      <w:r>
        <w:rPr>
          <w:color w:val="000000"/>
        </w:rPr>
        <w:instrText> HYPERLINK "mailto:gorod.mbu@mail.ru" </w:instrText>
      </w:r>
      <w:r>
        <w:fldChar w:fldCharType="separate"/>
      </w:r>
      <w:r>
        <w:rPr>
          <w:rStyle w:val="Hyperlink"/>
          <w:lang w:val="en-US" w:eastAsia="en-US" w:bidi="en-US"/>
          <w:w w:val="100"/>
          <w:spacing w:val="0"/>
          <w:position w:val="0"/>
        </w:rPr>
        <w:t>gorod.mbu@mail.ru</w:t>
      </w:r>
      <w:r>
        <w:fldChar w:fldCharType="end"/>
      </w:r>
    </w:p>
    <w:p>
      <w:pPr>
        <w:pStyle w:val="Style19"/>
        <w:widowControl w:val="0"/>
        <w:keepNext w:val="0"/>
        <w:keepLines w:val="0"/>
        <w:shd w:val="clear" w:color="auto" w:fill="auto"/>
        <w:bidi w:val="0"/>
        <w:jc w:val="left"/>
        <w:spacing w:before="0" w:after="0" w:line="278" w:lineRule="exact"/>
        <w:ind w:left="20" w:right="0" w:firstLine="0"/>
        <w:sectPr>
          <w:footnotePr>
            <w:pos w:val="pageBottom"/>
            <w:numFmt w:val="decimal"/>
            <w:numRestart w:val="continuous"/>
          </w:footnotePr>
          <w:type w:val="continuous"/>
          <w:pgSz w:w="11906" w:h="16838"/>
          <w:pgMar w:top="214" w:left="929" w:right="1481" w:bottom="824" w:header="0" w:footer="3" w:gutter="0"/>
          <w:rtlGutter w:val="0"/>
          <w:cols w:num="2" w:space="320"/>
          <w:noEndnote/>
          <w:docGrid w:linePitch="360"/>
        </w:sectPr>
      </w:pPr>
      <w:r>
        <w:rPr>
          <w:lang w:val="ru-RU" w:eastAsia="ru-RU" w:bidi="ru-RU"/>
          <w:w w:val="100"/>
          <w:spacing w:val="0"/>
          <w:color w:val="000000"/>
          <w:position w:val="0"/>
        </w:rPr>
        <w:t xml:space="preserve">ЗАО «Сбербанк - АСТ» (Оператор)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widowControl w:val="0"/>
        <w:spacing w:line="157"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199" w:wrap="around" w:vAnchor="text" w:hAnchor="margin" w:x="2207" w:y="-10"/>
        <w:widowControl w:val="0"/>
        <w:keepNext w:val="0"/>
        <w:keepLines w:val="0"/>
        <w:shd w:val="clear" w:color="auto" w:fill="auto"/>
        <w:bidi w:val="0"/>
        <w:jc w:val="left"/>
        <w:spacing w:before="0" w:after="0" w:line="200" w:lineRule="exact"/>
        <w:ind w:left="100" w:right="0" w:firstLine="0"/>
      </w:pPr>
      <w:r>
        <w:rPr>
          <w:rStyle w:val="CharStyle22"/>
          <w:spacing w:val="0"/>
        </w:rPr>
        <w:t>от</w:t>
      </w:r>
    </w:p>
    <w:p>
      <w:pPr>
        <w:pStyle w:val="Style21"/>
        <w:widowControl w:val="0"/>
        <w:keepNext w:val="0"/>
        <w:keepLines w:val="0"/>
        <w:shd w:val="clear" w:color="auto" w:fill="auto"/>
        <w:bidi w:val="0"/>
        <w:spacing w:before="0" w:after="151" w:line="210" w:lineRule="exact"/>
        <w:ind w:left="40" w:right="0" w:firstLine="0"/>
      </w:pPr>
      <w:r>
        <w:rPr>
          <w:lang w:val="ru-RU" w:eastAsia="ru-RU" w:bidi="ru-RU"/>
          <w:w w:val="100"/>
          <w:spacing w:val="0"/>
          <w:color w:val="000000"/>
          <w:position w:val="0"/>
        </w:rPr>
        <w:t>на №</w:t>
      </w:r>
    </w:p>
    <w:p>
      <w:pPr>
        <w:pStyle w:val="Style19"/>
        <w:widowControl w:val="0"/>
        <w:keepNext w:val="0"/>
        <w:keepLines w:val="0"/>
        <w:shd w:val="clear" w:color="auto" w:fill="auto"/>
        <w:bidi w:val="0"/>
        <w:jc w:val="center"/>
        <w:spacing w:before="0" w:after="279" w:line="269" w:lineRule="exact"/>
        <w:ind w:left="20" w:right="0" w:firstLine="0"/>
      </w:pPr>
      <w:r>
        <w:rPr>
          <w:lang w:val="ru-RU" w:eastAsia="ru-RU" w:bidi="ru-RU"/>
          <w:w w:val="100"/>
          <w:spacing w:val="0"/>
          <w:color w:val="000000"/>
          <w:position w:val="0"/>
        </w:rPr>
        <w:t>РЕШЕНИЕ по делу № 958/05</w:t>
      </w:r>
    </w:p>
    <w:p>
      <w:pPr>
        <w:pStyle w:val="Style19"/>
        <w:tabs>
          <w:tab w:leader="none" w:pos="8550" w:val="right"/>
          <w:tab w:leader="none" w:pos="10250" w:val="right"/>
        </w:tabs>
        <w:widowControl w:val="0"/>
        <w:keepNext w:val="0"/>
        <w:keepLines w:val="0"/>
        <w:shd w:val="clear" w:color="auto" w:fill="auto"/>
        <w:bidi w:val="0"/>
        <w:jc w:val="both"/>
        <w:spacing w:before="0" w:after="154" w:line="220" w:lineRule="exact"/>
        <w:ind w:left="40" w:right="0" w:firstLine="0"/>
      </w:pPr>
      <w:r>
        <w:rPr>
          <w:lang w:val="ru-RU" w:eastAsia="ru-RU" w:bidi="ru-RU"/>
          <w:w w:val="100"/>
          <w:spacing w:val="0"/>
          <w:color w:val="000000"/>
          <w:position w:val="0"/>
        </w:rPr>
        <w:t>«10» мая 2017 года</w:t>
        <w:tab/>
        <w:t>г.</w:t>
        <w:tab/>
        <w:t>Ростов-на-Дону</w:t>
      </w:r>
    </w:p>
    <w:p>
      <w:pPr>
        <w:pStyle w:val="Style19"/>
        <w:widowControl w:val="0"/>
        <w:keepNext w:val="0"/>
        <w:keepLines w:val="0"/>
        <w:shd w:val="clear" w:color="auto" w:fill="auto"/>
        <w:bidi w:val="0"/>
        <w:jc w:val="both"/>
        <w:spacing w:before="0" w:after="0" w:line="269" w:lineRule="exact"/>
        <w:ind w:left="40" w:right="20" w:firstLine="56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закупок (далее - Комиссия) в составе:</w:t>
      </w:r>
    </w:p>
    <w:p>
      <w:pPr>
        <w:pStyle w:val="Style19"/>
        <w:tabs>
          <w:tab w:leader="none" w:pos="6276" w:val="right"/>
          <w:tab w:leader="none" w:pos="6818" w:val="right"/>
        </w:tabs>
        <w:widowControl w:val="0"/>
        <w:keepNext w:val="0"/>
        <w:keepLines w:val="0"/>
        <w:shd w:val="clear" w:color="auto" w:fill="auto"/>
        <w:bidi w:val="0"/>
        <w:jc w:val="both"/>
        <w:spacing w:before="0" w:after="0" w:line="269" w:lineRule="exact"/>
        <w:ind w:left="40" w:right="0" w:firstLine="560"/>
      </w:pPr>
      <w:r>
        <w:rPr>
          <w:lang w:val="ru-RU" w:eastAsia="ru-RU" w:bidi="ru-RU"/>
          <w:w w:val="100"/>
          <w:spacing w:val="0"/>
          <w:color w:val="000000"/>
          <w:position w:val="0"/>
        </w:rPr>
        <w:t>Председатель Комиссии</w:t>
        <w:tab/>
        <w:t>Кожемяко</w:t>
        <w:tab/>
        <w:t>Н.А.</w:t>
      </w:r>
    </w:p>
    <w:p>
      <w:pPr>
        <w:pStyle w:val="Style19"/>
        <w:tabs>
          <w:tab w:leader="none" w:pos="6818" w:val="right"/>
          <w:tab w:leader="none" w:pos="6826" w:val="right"/>
        </w:tabs>
        <w:widowControl w:val="0"/>
        <w:keepNext w:val="0"/>
        <w:keepLines w:val="0"/>
        <w:shd w:val="clear" w:color="auto" w:fill="auto"/>
        <w:bidi w:val="0"/>
        <w:jc w:val="both"/>
        <w:spacing w:before="0" w:after="0" w:line="269" w:lineRule="exact"/>
        <w:ind w:left="40" w:right="0" w:firstLine="560"/>
      </w:pPr>
      <w:r>
        <w:rPr>
          <w:lang w:val="ru-RU" w:eastAsia="ru-RU" w:bidi="ru-RU"/>
          <w:w w:val="100"/>
          <w:spacing w:val="0"/>
          <w:color w:val="000000"/>
          <w:position w:val="0"/>
        </w:rPr>
        <w:t>Члены Комиссии</w:t>
        <w:tab/>
        <w:t>Исмаилов</w:t>
        <w:tab/>
        <w:t>М.И.</w:t>
      </w:r>
    </w:p>
    <w:p>
      <w:pPr>
        <w:pStyle w:val="Style19"/>
        <w:widowControl w:val="0"/>
        <w:keepNext w:val="0"/>
        <w:keepLines w:val="0"/>
        <w:shd w:val="clear" w:color="auto" w:fill="auto"/>
        <w:bidi w:val="0"/>
        <w:jc w:val="left"/>
        <w:spacing w:before="0" w:after="0" w:line="269" w:lineRule="exact"/>
        <w:ind w:left="5240" w:right="0" w:firstLine="0"/>
      </w:pPr>
      <w:r>
        <w:rPr>
          <w:lang w:val="ru-RU" w:eastAsia="ru-RU" w:bidi="ru-RU"/>
          <w:w w:val="100"/>
          <w:spacing w:val="0"/>
          <w:color w:val="000000"/>
          <w:position w:val="0"/>
        </w:rPr>
        <w:t>Корнева Е.Д.,</w:t>
      </w:r>
    </w:p>
    <w:p>
      <w:pPr>
        <w:pStyle w:val="Style19"/>
        <w:widowControl w:val="0"/>
        <w:keepNext w:val="0"/>
        <w:keepLines w:val="0"/>
        <w:shd w:val="clear" w:color="auto" w:fill="auto"/>
        <w:bidi w:val="0"/>
        <w:jc w:val="both"/>
        <w:spacing w:before="0" w:after="279" w:line="269" w:lineRule="exact"/>
        <w:ind w:left="40" w:right="20" w:firstLine="0"/>
      </w:pPr>
      <w:r>
        <w:rPr>
          <w:lang w:val="ru-RU" w:eastAsia="ru-RU" w:bidi="ru-RU"/>
          <w:w w:val="100"/>
          <w:spacing w:val="0"/>
          <w:color w:val="000000"/>
          <w:position w:val="0"/>
        </w:rPr>
        <w:t>рассмотрев в присутствии представителя Заказчика, в отсутствие представителя Заявителя дело № 958/05 по жалобе Заявителя о нарушении Комиссией Заказчика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при проведении электронного аукциона № 0358300428217000012 «Поставка спец. одежды» (далее - аукцион),</w:t>
      </w:r>
    </w:p>
    <w:p>
      <w:pPr>
        <w:pStyle w:val="Style19"/>
        <w:widowControl w:val="0"/>
        <w:keepNext w:val="0"/>
        <w:keepLines w:val="0"/>
        <w:shd w:val="clear" w:color="auto" w:fill="auto"/>
        <w:bidi w:val="0"/>
        <w:jc w:val="center"/>
        <w:spacing w:before="0" w:after="150" w:line="220" w:lineRule="exact"/>
        <w:ind w:left="20" w:right="0" w:firstLine="0"/>
      </w:pPr>
      <w:r>
        <w:rPr>
          <w:lang w:val="ru-RU" w:eastAsia="ru-RU" w:bidi="ru-RU"/>
          <w:w w:val="100"/>
          <w:spacing w:val="0"/>
          <w:color w:val="000000"/>
          <w:position w:val="0"/>
        </w:rPr>
        <w:t>УСТАНОВИЛА:</w:t>
      </w:r>
    </w:p>
    <w:p>
      <w:pPr>
        <w:pStyle w:val="Style19"/>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В Ростовское УФАС России 02.05.2017 поступила жалоба Заявителя по признакам нарушения Комиссией Заказчика Закона № 44-ФЗ при проведении аукциона.</w:t>
      </w:r>
    </w:p>
    <w:p>
      <w:pPr>
        <w:pStyle w:val="Style19"/>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Согласно доводам жалобы Заявителя, аукционная комиссия Заказчика неправомерно приняла решение о несоответствии заявки ООО «АнтАлекс» ст. 66 ч.З п.1 Федерального закона № 44-ФЗ (в позиции «Плащ прорезиненный», «Перчатки трикотажные с ПВХ «люкс», «Тапочки кожаные искусственная (летние) женские, «Куртка водителя» «Жилет утепленный женский», «Куртка х/б», нет указания на конкретный цвет).</w:t>
      </w:r>
    </w:p>
    <w:p>
      <w:pPr>
        <w:pStyle w:val="Style19"/>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В материалы дела Заказчик представил письменные пояснения, в которых выразил несогласие с доводами Заявителя, а также указал на нарушение ООО «АнтАлекс» сроков обжалования действий комиссии Заказчика.</w:t>
      </w:r>
    </w:p>
    <w:p>
      <w:pPr>
        <w:pStyle w:val="Style19"/>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Изучив материалы дела, выслушав представителей Заказчика, по итогам проведения внеплановой проверки в соответствии с пунктом 15 статьи 99 Закона № 44-ФЗ, Комиссия пришла к следующим выводам.</w:t>
      </w:r>
    </w:p>
    <w:p>
      <w:pPr>
        <w:pStyle w:val="Style19"/>
        <w:numPr>
          <w:ilvl w:val="0"/>
          <w:numId w:val="1"/>
        </w:numPr>
        <w:tabs>
          <w:tab w:leader="none" w:pos="1815" w:val="left"/>
        </w:tabs>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на официальном сайте единой информационной системы в сфере закупок (далее - ЕИС) Заказчиком размещено извещение о проведении электронного аукциона для закупки №0358300428217000012 (далее - Извещение).</w:t>
      </w:r>
    </w:p>
    <w:p>
      <w:pPr>
        <w:pStyle w:val="Style19"/>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Согласно данному Извещению, начальная (максимальная) цена контракта составила 721 391, 00 руб.; дата и время окончания подачи заявок на участие в аукционе - 20.04.2017 10:00.</w:t>
      </w:r>
      <w:r>
        <w:br w:type="page"/>
      </w:r>
    </w:p>
    <w:p>
      <w:pPr>
        <w:pStyle w:val="Style19"/>
        <w:numPr>
          <w:ilvl w:val="0"/>
          <w:numId w:val="3"/>
        </w:numPr>
        <w:tabs>
          <w:tab w:leader="none" w:pos="837" w:val="left"/>
        </w:tabs>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В соответствии с частью 1 статьи 67 Закона № 44-ФЗ аукционная комиссия проверяет первые части заявок на участие в электронном аукционе, содержащие информацию, предусмотренную частью 3 статьи 66 Закона № 44-ФЗ, на соответствие требованиям, установленным документацией о таком аукционе в отношении закупаемых товаров, работ, услуг.</w:t>
      </w:r>
    </w:p>
    <w:p>
      <w:pPr>
        <w:pStyle w:val="Style19"/>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Согласно части 4 статьи 67 Закона № 44-ФЗ, участник электронного аукциона не допускается к участию в нем в случае: 1) непредоставления информации, предусмотренной частью 3 статьи 66 Закона № 44-ФЗ, или предоставления недостоверной информации; 2) несоответствия информации, предусмотренной частью 3 статьи 66 Закона № 44-ФЗ, требованиям документации о таком аукционе.</w:t>
      </w:r>
    </w:p>
    <w:p>
      <w:pPr>
        <w:pStyle w:val="Style19"/>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Подпунктом «б» пункта 3 части 3 статьи 66 Закона № 44-ФЗ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части 3 статьи 66 Закона № 44-ФЗ,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9"/>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Протоколом рассмотрения заявок на участие в электронном аукционе «Поставка спец. одежды» (№ извещения 0358300428217000012) от 20.04.2017 заявка ООО «АнтАлекс» отклонена как несоответствующая ст. 66 ч.З п.1 Федерального закона № 44-ФЗ (в позиции «Плащ прорезиненный», «Перчатки трикотажные с ПВХ «люкс», «Тапочки кожаные искусственная (летние) женские, «Куртка водителя» «Жилет утепленный женский», «Куртка х/б», нет указания на конкретный цвет).</w:t>
      </w:r>
    </w:p>
    <w:p>
      <w:pPr>
        <w:pStyle w:val="Style19"/>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Заявки под номерами 1, 4, 5, 6 также отклонены ввиду отсутствия указания на конкретный цвет (кроме того, причиной отклонения заявки под номером 6 является отсутствие указания на наименование страны происхождения).</w:t>
      </w:r>
    </w:p>
    <w:p>
      <w:pPr>
        <w:pStyle w:val="Style19"/>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Аукционной комиссией Заказчика принято решение о соответствии требованиям аукционной документации первой части заявки под номером 3.</w:t>
      </w:r>
    </w:p>
    <w:p>
      <w:pPr>
        <w:pStyle w:val="Style19"/>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Протоколом рассмотрения заявки единственного участника электронного аукциона «Поставка спец. одежды» (№ извещения 0358300428217000012) от 21.04.2017 вторая часть заяв!си ООО «Миал- Дон» признана соответствующей требованиям аукционной документации.</w:t>
      </w:r>
    </w:p>
    <w:p>
      <w:pPr>
        <w:pStyle w:val="Style19"/>
        <w:numPr>
          <w:ilvl w:val="0"/>
          <w:numId w:val="5"/>
        </w:numPr>
        <w:tabs>
          <w:tab w:leader="none" w:pos="1744" w:val="left"/>
        </w:tabs>
        <w:widowControl w:val="0"/>
        <w:keepNext w:val="0"/>
        <w:keepLines w:val="0"/>
        <w:shd w:val="clear" w:color="auto" w:fill="auto"/>
        <w:bidi w:val="0"/>
        <w:jc w:val="both"/>
        <w:spacing w:before="0" w:after="0" w:line="274" w:lineRule="exact"/>
        <w:ind w:left="20" w:right="60" w:firstLine="560"/>
      </w:pPr>
      <w:r>
        <w:rPr>
          <w:lang w:val="ru-RU" w:eastAsia="ru-RU" w:bidi="ru-RU"/>
          <w:w w:val="100"/>
          <w:spacing w:val="0"/>
          <w:color w:val="000000"/>
          <w:position w:val="0"/>
        </w:rPr>
        <w:t>между Муниципальным бюджетным учреждением г. Азова «Чистый город» и ООО «Миал-Дон» заключен контракт № 11/2017-А на поставку спец. одежды.</w:t>
      </w:r>
    </w:p>
    <w:p>
      <w:pPr>
        <w:pStyle w:val="Style24"/>
        <w:framePr w:w="10296" w:wrap="notBeside" w:vAnchor="text" w:hAnchor="text" w:xAlign="center" w:y="1"/>
        <w:tabs>
          <w:tab w:leader="underscore" w:pos="10224"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Согласно техническому заданию раздела II документации об электронном аукционе на поставку спец. одежды (далее - аукционная документация), к поставке Заказчику требовались в том числе </w:t>
      </w:r>
      <w:r>
        <w:rPr>
          <w:rStyle w:val="CharStyle26"/>
        </w:rPr>
        <w:t>следующие товары:</w:t>
      </w:r>
      <w:r>
        <w:rPr>
          <w:lang w:val="ru-RU" w:eastAsia="ru-RU" w:bidi="ru-RU"/>
          <w:w w:val="100"/>
          <w:spacing w:val="0"/>
          <w:color w:val="000000"/>
          <w:position w:val="0"/>
        </w:rPr>
        <w:tab/>
      </w:r>
    </w:p>
    <w:tbl>
      <w:tblPr>
        <w:tblOverlap w:val="never"/>
        <w:tblLayout w:type="fixed"/>
        <w:jc w:val="center"/>
      </w:tblPr>
      <w:tblGrid>
        <w:gridCol w:w="437"/>
        <w:gridCol w:w="2126"/>
        <w:gridCol w:w="5160"/>
        <w:gridCol w:w="1555"/>
        <w:gridCol w:w="1018"/>
      </w:tblGrid>
      <w:tr>
        <w:trPr>
          <w:trHeight w:val="3106" w:hRule="exact"/>
        </w:trPr>
        <w:tc>
          <w:tcPr>
            <w:shd w:val="clear" w:color="auto" w:fill="FFFFFF"/>
            <w:tcBorders>
              <w:left w:val="single" w:sz="4"/>
              <w:top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9"/>
              <w:framePr w:w="10296"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7"/>
              </w:rPr>
              <w:t>Плащ прорезиненный</w:t>
            </w:r>
          </w:p>
          <w:p>
            <w:pPr>
              <w:pStyle w:val="Style19"/>
              <w:framePr w:w="10296"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7"/>
              </w:rPr>
              <w:t>(непромокаемый)</w:t>
            </w:r>
          </w:p>
          <w:p>
            <w:pPr>
              <w:pStyle w:val="Style19"/>
              <w:framePr w:w="10296"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7"/>
              </w:rPr>
              <w:t>14.13.13.130</w:t>
            </w:r>
          </w:p>
        </w:tc>
        <w:tc>
          <w:tcPr>
            <w:shd w:val="clear" w:color="auto" w:fill="FFFFFF"/>
            <w:tcBorders>
              <w:left w:val="single" w:sz="4"/>
              <w:top w:val="single" w:sz="4"/>
            </w:tcBorders>
            <w:vAlign w:val="bottom"/>
          </w:tcPr>
          <w:p>
            <w:pPr>
              <w:pStyle w:val="Style19"/>
              <w:framePr w:w="10296" w:wrap="notBeside" w:vAnchor="text" w:hAnchor="text" w:xAlign="center" w:y="1"/>
              <w:widowControl w:val="0"/>
              <w:keepNext w:val="0"/>
              <w:keepLines w:val="0"/>
              <w:shd w:val="clear" w:color="auto" w:fill="auto"/>
              <w:bidi w:val="0"/>
              <w:jc w:val="left"/>
              <w:spacing w:before="0" w:after="0" w:line="202" w:lineRule="exact"/>
              <w:ind w:left="100" w:right="0" w:firstLine="0"/>
            </w:pPr>
            <w:r>
              <w:rPr>
                <w:rStyle w:val="CharStyle28"/>
              </w:rPr>
              <w:t>Цвет: не светлый</w:t>
            </w:r>
          </w:p>
          <w:p>
            <w:pPr>
              <w:pStyle w:val="Style19"/>
              <w:framePr w:w="10296"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Материал: 100% полиэфир с ПВХ покрытием.</w:t>
            </w:r>
          </w:p>
          <w:p>
            <w:pPr>
              <w:pStyle w:val="Style19"/>
              <w:framePr w:w="10296"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8"/>
              </w:rPr>
              <w:t>Вес: не более 225 г/м</w:t>
            </w:r>
            <w:r>
              <w:rPr>
                <w:rStyle w:val="CharStyle28"/>
                <w:vertAlign w:val="superscript"/>
              </w:rPr>
              <w:t>2</w:t>
            </w:r>
            <w:r>
              <w:rPr>
                <w:rStyle w:val="CharStyle28"/>
              </w:rPr>
              <w:t xml:space="preserve"> ТР ТС 019/2011 Плащ:</w:t>
            </w:r>
          </w:p>
          <w:p>
            <w:pPr>
              <w:pStyle w:val="Style19"/>
              <w:numPr>
                <w:ilvl w:val="0"/>
                <w:numId w:val="7"/>
              </w:numPr>
              <w:framePr w:w="10296"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центральная застёжка на «молнию»</w:t>
            </w:r>
          </w:p>
          <w:p>
            <w:pPr>
              <w:pStyle w:val="Style19"/>
              <w:numPr>
                <w:ilvl w:val="0"/>
                <w:numId w:val="7"/>
              </w:numPr>
              <w:framePr w:w="10296" w:wrap="notBeside" w:vAnchor="text" w:hAnchor="text" w:xAlign="center" w:y="1"/>
              <w:tabs>
                <w:tab w:leader="none" w:pos="106" w:val="left"/>
              </w:tabs>
              <w:widowControl w:val="0"/>
              <w:keepNext w:val="0"/>
              <w:keepLines w:val="0"/>
              <w:shd w:val="clear" w:color="auto" w:fill="auto"/>
              <w:bidi w:val="0"/>
              <w:jc w:val="both"/>
              <w:spacing w:before="0" w:after="0" w:line="202" w:lineRule="exact"/>
              <w:ind w:left="0" w:right="0" w:firstLine="0"/>
            </w:pPr>
            <w:r>
              <w:rPr>
                <w:rStyle w:val="CharStyle28"/>
              </w:rPr>
              <w:t>внутренняя ветрозащитная планка</w:t>
            </w:r>
          </w:p>
          <w:p>
            <w:pPr>
              <w:pStyle w:val="Style19"/>
              <w:numPr>
                <w:ilvl w:val="0"/>
                <w:numId w:val="7"/>
              </w:numPr>
              <w:framePr w:w="10296" w:wrap="notBeside" w:vAnchor="text" w:hAnchor="text" w:xAlign="center" w:y="1"/>
              <w:tabs>
                <w:tab w:leader="none" w:pos="130" w:val="left"/>
              </w:tabs>
              <w:widowControl w:val="0"/>
              <w:keepNext w:val="0"/>
              <w:keepLines w:val="0"/>
              <w:shd w:val="clear" w:color="auto" w:fill="auto"/>
              <w:bidi w:val="0"/>
              <w:jc w:val="left"/>
              <w:spacing w:before="0" w:after="0" w:line="202" w:lineRule="exact"/>
              <w:ind w:left="20" w:right="0" w:firstLine="0"/>
            </w:pPr>
            <w:r>
              <w:rPr>
                <w:rStyle w:val="CharStyle28"/>
              </w:rPr>
              <w:t>по кокетке спинки и на уровне подмышечных впадин — вентиляционные отверстия</w:t>
            </w:r>
          </w:p>
          <w:p>
            <w:pPr>
              <w:pStyle w:val="Style19"/>
              <w:numPr>
                <w:ilvl w:val="0"/>
                <w:numId w:val="7"/>
              </w:numPr>
              <w:framePr w:w="10296"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накладные карманы с клапаном</w:t>
            </w:r>
          </w:p>
          <w:p>
            <w:pPr>
              <w:pStyle w:val="Style19"/>
              <w:numPr>
                <w:ilvl w:val="0"/>
                <w:numId w:val="7"/>
              </w:numPr>
              <w:framePr w:w="10296"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втачной капюшон</w:t>
            </w:r>
          </w:p>
          <w:p>
            <w:pPr>
              <w:pStyle w:val="Style19"/>
              <w:numPr>
                <w:ilvl w:val="0"/>
                <w:numId w:val="7"/>
              </w:numPr>
              <w:framePr w:w="10296" w:wrap="notBeside" w:vAnchor="text" w:hAnchor="text" w:xAlign="center" w:y="1"/>
              <w:tabs>
                <w:tab w:leader="none" w:pos="106" w:val="left"/>
              </w:tabs>
              <w:widowControl w:val="0"/>
              <w:keepNext w:val="0"/>
              <w:keepLines w:val="0"/>
              <w:shd w:val="clear" w:color="auto" w:fill="auto"/>
              <w:bidi w:val="0"/>
              <w:jc w:val="both"/>
              <w:spacing w:before="0" w:after="0" w:line="202" w:lineRule="exact"/>
              <w:ind w:left="0" w:right="0" w:firstLine="0"/>
            </w:pPr>
            <w:r>
              <w:rPr>
                <w:rStyle w:val="CharStyle28"/>
              </w:rPr>
              <w:t>рукава — реглан с внутренними манжетами на эластичной ленте или эквивалент</w:t>
            </w:r>
          </w:p>
          <w:p>
            <w:pPr>
              <w:pStyle w:val="Style19"/>
              <w:numPr>
                <w:ilvl w:val="0"/>
                <w:numId w:val="7"/>
              </w:numPr>
              <w:framePr w:w="10296" w:wrap="notBeside" w:vAnchor="text" w:hAnchor="text" w:xAlign="center" w:y="1"/>
              <w:tabs>
                <w:tab w:leader="none" w:pos="130" w:val="left"/>
              </w:tabs>
              <w:widowControl w:val="0"/>
              <w:keepNext w:val="0"/>
              <w:keepLines w:val="0"/>
              <w:shd w:val="clear" w:color="auto" w:fill="auto"/>
              <w:bidi w:val="0"/>
              <w:jc w:val="left"/>
              <w:spacing w:before="0" w:after="0" w:line="202" w:lineRule="exact"/>
              <w:ind w:left="20" w:right="0" w:firstLine="0"/>
            </w:pPr>
            <w:r>
              <w:rPr>
                <w:rStyle w:val="CharStyle28"/>
              </w:rPr>
              <w:t>герметично проклеенные швы (или эквивалент)</w:t>
            </w:r>
          </w:p>
          <w:p>
            <w:pPr>
              <w:pStyle w:val="Style19"/>
              <w:framePr w:w="10296"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 xml:space="preserve">Размер: </w:t>
            </w:r>
            <w:r>
              <w:rPr>
                <w:rStyle w:val="CharStyle28"/>
                <w:lang w:val="en-US" w:eastAsia="en-US" w:bidi="en-US"/>
              </w:rPr>
              <w:t>M-XXXL</w:t>
            </w:r>
          </w:p>
        </w:tc>
        <w:tc>
          <w:tcPr>
            <w:shd w:val="clear" w:color="auto" w:fill="FFFFFF"/>
            <w:tcBorders>
              <w:left w:val="single" w:sz="4"/>
              <w:top w:val="single" w:sz="4"/>
            </w:tcBorders>
            <w:vAlign w:val="center"/>
          </w:tcPr>
          <w:p>
            <w:pPr>
              <w:pStyle w:val="Style19"/>
              <w:framePr w:w="10296"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28"/>
              </w:rPr>
              <w:t>ГОСТ</w:t>
            </w:r>
          </w:p>
          <w:p>
            <w:pPr>
              <w:pStyle w:val="Style19"/>
              <w:framePr w:w="10296"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28"/>
              </w:rPr>
              <w:t>12.4.134-83</w:t>
            </w:r>
          </w:p>
        </w:tc>
        <w:tc>
          <w:tcPr>
            <w:shd w:val="clear" w:color="auto" w:fill="FFFFFF"/>
            <w:tcBorders>
              <w:left w:val="single" w:sz="4"/>
              <w:right w:val="single" w:sz="4"/>
              <w:top w:val="single" w:sz="4"/>
            </w:tcBorders>
            <w:vAlign w:val="center"/>
          </w:tcPr>
          <w:p>
            <w:pPr>
              <w:pStyle w:val="Style19"/>
              <w:framePr w:w="10296"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8"/>
              </w:rPr>
              <w:t>55</w:t>
            </w:r>
          </w:p>
        </w:tc>
      </w:tr>
      <w:tr>
        <w:trPr>
          <w:trHeight w:val="1037" w:hRule="exact"/>
        </w:trPr>
        <w:tc>
          <w:tcPr>
            <w:shd w:val="clear" w:color="auto" w:fill="FFFFFF"/>
            <w:tcBorders>
              <w:left w:val="single" w:sz="4"/>
              <w:top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9"/>
              <w:framePr w:w="10296"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7"/>
              </w:rPr>
              <w:t>Перчатки трикотажные с ПВХ «люкс»</w:t>
            </w:r>
          </w:p>
          <w:p>
            <w:pPr>
              <w:pStyle w:val="Style19"/>
              <w:framePr w:w="10296"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7"/>
              </w:rPr>
              <w:t>14.12.30.150</w:t>
            </w:r>
          </w:p>
        </w:tc>
        <w:tc>
          <w:tcPr>
            <w:shd w:val="clear" w:color="auto" w:fill="FFFFFF"/>
            <w:tcBorders>
              <w:left w:val="single" w:sz="4"/>
              <w:top w:val="single" w:sz="4"/>
            </w:tcBorders>
            <w:vAlign w:val="top"/>
          </w:tcPr>
          <w:p>
            <w:pPr>
              <w:pStyle w:val="Style19"/>
              <w:framePr w:w="10296"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Класс вязки: не ниже 7-го</w:t>
            </w:r>
          </w:p>
          <w:p>
            <w:pPr>
              <w:pStyle w:val="Style19"/>
              <w:framePr w:w="10296"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Материал: хлопок не менее 70%, п/э 30%</w:t>
            </w:r>
          </w:p>
          <w:p>
            <w:pPr>
              <w:pStyle w:val="Style19"/>
              <w:framePr w:w="10296"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Оверлок: двойной</w:t>
            </w:r>
          </w:p>
          <w:p>
            <w:pPr>
              <w:pStyle w:val="Style19"/>
              <w:framePr w:w="10296"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Цвет: светлый Размер: 9</w:t>
            </w:r>
          </w:p>
          <w:p>
            <w:pPr>
              <w:pStyle w:val="Style19"/>
              <w:framePr w:w="10296"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Вес: не менее 60 г</w:t>
            </w:r>
          </w:p>
        </w:tc>
        <w:tc>
          <w:tcPr>
            <w:shd w:val="clear" w:color="auto" w:fill="FFFFFF"/>
            <w:tcBorders>
              <w:left w:val="single" w:sz="4"/>
              <w:top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9"/>
              <w:framePr w:w="10296"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8"/>
              </w:rPr>
              <w:t>1043</w:t>
            </w:r>
          </w:p>
        </w:tc>
      </w:tr>
      <w:tr>
        <w:trPr>
          <w:trHeight w:val="854" w:hRule="exact"/>
        </w:trPr>
        <w:tc>
          <w:tcPr>
            <w:shd w:val="clear" w:color="auto" w:fill="FFFFFF"/>
            <w:tcBorders>
              <w:left w:val="single" w:sz="4"/>
              <w:top w:val="single" w:sz="4"/>
              <w:bottom w:val="single" w:sz="4"/>
            </w:tcBorders>
            <w:vAlign w:val="top"/>
          </w:tcPr>
          <w:p>
            <w:pPr>
              <w:framePr w:w="10296"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19"/>
              <w:framePr w:w="10296" w:wrap="notBeside" w:vAnchor="text" w:hAnchor="text" w:xAlign="center" w:y="1"/>
              <w:widowControl w:val="0"/>
              <w:keepNext w:val="0"/>
              <w:keepLines w:val="0"/>
              <w:shd w:val="clear" w:color="auto" w:fill="auto"/>
              <w:bidi w:val="0"/>
              <w:jc w:val="left"/>
              <w:spacing w:before="0" w:after="0" w:line="206" w:lineRule="exact"/>
              <w:ind w:left="20" w:right="0" w:firstLine="0"/>
            </w:pPr>
            <w:r>
              <w:rPr>
                <w:rStyle w:val="CharStyle27"/>
              </w:rPr>
              <w:t>Тапочки кожаные искусственная (летние) женские 15.20.32.120</w:t>
            </w:r>
          </w:p>
        </w:tc>
        <w:tc>
          <w:tcPr>
            <w:shd w:val="clear" w:color="auto" w:fill="FFFFFF"/>
            <w:tcBorders>
              <w:left w:val="single" w:sz="4"/>
              <w:top w:val="single" w:sz="4"/>
              <w:bottom w:val="single" w:sz="4"/>
            </w:tcBorders>
            <w:vAlign w:val="top"/>
          </w:tcPr>
          <w:p>
            <w:pPr>
              <w:pStyle w:val="Style19"/>
              <w:framePr w:w="10296" w:wrap="notBeside" w:vAnchor="text" w:hAnchor="text" w:xAlign="center" w:y="1"/>
              <w:widowControl w:val="0"/>
              <w:keepNext w:val="0"/>
              <w:keepLines w:val="0"/>
              <w:shd w:val="clear" w:color="auto" w:fill="auto"/>
              <w:bidi w:val="0"/>
              <w:jc w:val="left"/>
              <w:spacing w:before="0" w:after="0" w:line="206" w:lineRule="exact"/>
              <w:ind w:left="20" w:right="0" w:firstLine="0"/>
            </w:pPr>
            <w:r>
              <w:rPr>
                <w:rStyle w:val="CharStyle28"/>
              </w:rPr>
              <w:t>Универсальная закрытая летняя модель. Для работы в закрытых отапливаемых помещениях, для защиты от механических воздействий, общепроизводственных загрязнений.</w:t>
            </w:r>
          </w:p>
          <w:p>
            <w:pPr>
              <w:pStyle w:val="Style19"/>
              <w:framePr w:w="10296"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8"/>
              </w:rPr>
              <w:t>Верх: цельная искусственная кожа.</w:t>
            </w:r>
          </w:p>
        </w:tc>
        <w:tc>
          <w:tcPr>
            <w:shd w:val="clear" w:color="auto" w:fill="FFFFFF"/>
            <w:tcBorders>
              <w:left w:val="single" w:sz="4"/>
              <w:top w:val="single" w:sz="4"/>
              <w:bottom w:val="single" w:sz="4"/>
            </w:tcBorders>
            <w:vAlign w:val="center"/>
          </w:tcPr>
          <w:p>
            <w:pPr>
              <w:pStyle w:val="Style19"/>
              <w:framePr w:w="10296"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28"/>
              </w:rPr>
              <w:t>ТР ТС 017/2011</w:t>
            </w:r>
          </w:p>
        </w:tc>
        <w:tc>
          <w:tcPr>
            <w:shd w:val="clear" w:color="auto" w:fill="FFFFFF"/>
            <w:tcBorders>
              <w:left w:val="single" w:sz="4"/>
              <w:right w:val="single" w:sz="4"/>
              <w:top w:val="single" w:sz="4"/>
              <w:bottom w:val="single" w:sz="4"/>
            </w:tcBorders>
            <w:vAlign w:val="center"/>
          </w:tcPr>
          <w:p>
            <w:pPr>
              <w:pStyle w:val="Style19"/>
              <w:framePr w:w="10296"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8"/>
              </w:rPr>
              <w:t>15</w:t>
            </w:r>
          </w:p>
        </w:tc>
      </w:tr>
    </w:tbl>
    <w:p>
      <w:pPr>
        <w:widowControl w:val="0"/>
        <w:rPr>
          <w:sz w:val="2"/>
          <w:szCs w:val="2"/>
        </w:rPr>
      </w:pPr>
    </w:p>
    <w:tbl>
      <w:tblPr>
        <w:tblOverlap w:val="never"/>
        <w:tblLayout w:type="fixed"/>
        <w:jc w:val="center"/>
      </w:tblPr>
      <w:tblGrid>
        <w:gridCol w:w="461"/>
        <w:gridCol w:w="2122"/>
        <w:gridCol w:w="5160"/>
        <w:gridCol w:w="1555"/>
        <w:gridCol w:w="1037"/>
      </w:tblGrid>
      <w:tr>
        <w:trPr>
          <w:trHeight w:val="2102" w:hRule="exact"/>
        </w:trPr>
        <w:tc>
          <w:tcPr>
            <w:shd w:val="clear" w:color="auto" w:fill="FFFFFF"/>
            <w:tcBorders>
              <w:left w:val="single" w:sz="4"/>
              <w:top w:val="single" w:sz="4"/>
            </w:tcBorders>
            <w:vAlign w:val="top"/>
          </w:tcPr>
          <w:p>
            <w:pPr>
              <w:framePr w:w="103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Додошва: поливинилхлорид (ПВХ).или эквивалент Метод крепления: строчно-литьевой.</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Двет: темный ^азмерный ряд: с 36 по 46 ’азмер 41-1;</w:t>
            </w:r>
          </w:p>
          <w:p>
            <w:pPr>
              <w:pStyle w:val="Style19"/>
              <w:framePr w:w="1033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8"/>
              </w:rPr>
              <w:t xml:space="preserve">Размер 40-1; </w:t>
            </w:r>
            <w:r>
              <w:rPr>
                <w:rStyle w:val="CharStyle28"/>
                <w:vertAlign w:val="superscript"/>
              </w:rPr>
              <w:t>э</w:t>
            </w:r>
            <w:r>
              <w:rPr>
                <w:rStyle w:val="CharStyle28"/>
              </w:rPr>
              <w:t xml:space="preserve">азмер 39-4; </w:t>
            </w:r>
            <w:r>
              <w:rPr>
                <w:rStyle w:val="CharStyle28"/>
                <w:vertAlign w:val="superscript"/>
              </w:rPr>
              <w:t>э</w:t>
            </w:r>
            <w:r>
              <w:rPr>
                <w:rStyle w:val="CharStyle28"/>
              </w:rPr>
              <w:t xml:space="preserve">азмер 38-5; </w:t>
            </w:r>
            <w:r>
              <w:rPr>
                <w:rStyle w:val="CharStyle28"/>
                <w:vertAlign w:val="superscript"/>
              </w:rPr>
              <w:t>э</w:t>
            </w:r>
            <w:r>
              <w:rPr>
                <w:rStyle w:val="CharStyle28"/>
              </w:rPr>
              <w:t>азмер 37-3;</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Размер 36-1.</w:t>
            </w:r>
          </w:p>
        </w:tc>
        <w:tc>
          <w:tcPr>
            <w:shd w:val="clear" w:color="auto" w:fill="FFFFFF"/>
            <w:tcBorders>
              <w:left w:val="single" w:sz="4"/>
              <w:top w:val="single" w:sz="4"/>
            </w:tcBorders>
            <w:vAlign w:val="top"/>
          </w:tcPr>
          <w:p>
            <w:pPr>
              <w:framePr w:w="103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4" w:wrap="notBeside" w:vAnchor="text" w:hAnchor="text" w:xAlign="center" w:y="1"/>
              <w:widowControl w:val="0"/>
              <w:rPr>
                <w:sz w:val="10"/>
                <w:szCs w:val="10"/>
              </w:rPr>
            </w:pPr>
          </w:p>
        </w:tc>
      </w:tr>
      <w:tr>
        <w:trPr>
          <w:trHeight w:val="3734" w:hRule="exact"/>
        </w:trPr>
        <w:tc>
          <w:tcPr>
            <w:shd w:val="clear" w:color="auto" w:fill="FFFFFF"/>
            <w:tcBorders>
              <w:left w:val="single" w:sz="4"/>
              <w:top w:val="single" w:sz="4"/>
            </w:tcBorders>
            <w:vAlign w:val="top"/>
          </w:tcPr>
          <w:p>
            <w:pPr>
              <w:framePr w:w="103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7"/>
              </w:rPr>
              <w:t>Куртка водитель 14.13.31.120</w:t>
            </w:r>
          </w:p>
        </w:tc>
        <w:tc>
          <w:tcPr>
            <w:shd w:val="clear" w:color="auto" w:fill="FFFFFF"/>
            <w:tcBorders>
              <w:left w:val="single" w:sz="4"/>
              <w:top w:val="single" w:sz="4"/>
            </w:tcBorders>
            <w:vAlign w:val="bottom"/>
          </w:tcPr>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Цвет: темный</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Ткань верха: «Оксфорд»,(или эквивалент) 100% п/э, пл. не ниже 120 г/м</w:t>
            </w:r>
            <w:r>
              <w:rPr>
                <w:rStyle w:val="CharStyle28"/>
                <w:vertAlign w:val="superscript"/>
              </w:rPr>
              <w:t>2</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 xml:space="preserve">Утеплитель: </w:t>
            </w:r>
            <w:r>
              <w:rPr>
                <w:rStyle w:val="CharStyle28"/>
                <w:lang w:val="en-US" w:eastAsia="en-US" w:bidi="en-US"/>
              </w:rPr>
              <w:t xml:space="preserve">Sintoteks </w:t>
            </w:r>
            <w:r>
              <w:rPr>
                <w:rStyle w:val="CharStyle28"/>
              </w:rPr>
              <w:t>(Синтотекс)(или эквивалент) - 3 слоя пл.не</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ниже 360 г/м</w:t>
            </w:r>
            <w:r>
              <w:rPr>
                <w:rStyle w:val="CharStyle28"/>
                <w:vertAlign w:val="superscript"/>
              </w:rPr>
              <w:t>2</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Подкладка: 100% п/э</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Класс защиты: 2</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Куртка:</w:t>
            </w:r>
          </w:p>
          <w:p>
            <w:pPr>
              <w:pStyle w:val="Style19"/>
              <w:numPr>
                <w:ilvl w:val="0"/>
                <w:numId w:val="9"/>
              </w:numPr>
              <w:framePr w:w="10334" w:wrap="notBeside" w:vAnchor="text" w:hAnchor="text" w:xAlign="center" w:y="1"/>
              <w:tabs>
                <w:tab w:leader="none" w:pos="106" w:val="left"/>
              </w:tabs>
              <w:widowControl w:val="0"/>
              <w:keepNext w:val="0"/>
              <w:keepLines w:val="0"/>
              <w:shd w:val="clear" w:color="auto" w:fill="auto"/>
              <w:bidi w:val="0"/>
              <w:jc w:val="both"/>
              <w:spacing w:before="0" w:after="0" w:line="206" w:lineRule="exact"/>
              <w:ind w:left="0" w:right="0" w:firstLine="0"/>
            </w:pPr>
            <w:r>
              <w:rPr>
                <w:rStyle w:val="CharStyle28"/>
              </w:rPr>
              <w:t>укороченная модель на поясе</w:t>
            </w:r>
          </w:p>
          <w:p>
            <w:pPr>
              <w:pStyle w:val="Style19"/>
              <w:numPr>
                <w:ilvl w:val="0"/>
                <w:numId w:val="9"/>
              </w:numPr>
              <w:framePr w:w="10334" w:wrap="notBeside" w:vAnchor="text" w:hAnchor="text" w:xAlign="center" w:y="1"/>
              <w:tabs>
                <w:tab w:leader="none" w:pos="106" w:val="left"/>
              </w:tabs>
              <w:widowControl w:val="0"/>
              <w:keepNext w:val="0"/>
              <w:keepLines w:val="0"/>
              <w:shd w:val="clear" w:color="auto" w:fill="auto"/>
              <w:bidi w:val="0"/>
              <w:jc w:val="both"/>
              <w:spacing w:before="0" w:after="0" w:line="206" w:lineRule="exact"/>
              <w:ind w:left="0" w:right="0" w:firstLine="0"/>
            </w:pPr>
            <w:r>
              <w:rPr>
                <w:rStyle w:val="CharStyle28"/>
              </w:rPr>
              <w:t>центральная застёжка на тесьму - молнию</w:t>
            </w:r>
          </w:p>
          <w:p>
            <w:pPr>
              <w:pStyle w:val="Style19"/>
              <w:numPr>
                <w:ilvl w:val="0"/>
                <w:numId w:val="9"/>
              </w:numPr>
              <w:framePr w:w="10334" w:wrap="notBeside" w:vAnchor="text" w:hAnchor="text" w:xAlign="center" w:y="1"/>
              <w:tabs>
                <w:tab w:leader="none" w:pos="110" w:val="left"/>
              </w:tabs>
              <w:widowControl w:val="0"/>
              <w:keepNext w:val="0"/>
              <w:keepLines w:val="0"/>
              <w:shd w:val="clear" w:color="auto" w:fill="auto"/>
              <w:bidi w:val="0"/>
              <w:jc w:val="both"/>
              <w:spacing w:before="0" w:after="0" w:line="206" w:lineRule="exact"/>
              <w:ind w:left="0" w:right="0" w:firstLine="0"/>
            </w:pPr>
            <w:r>
              <w:rPr>
                <w:rStyle w:val="CharStyle28"/>
              </w:rPr>
              <w:t>прорезные боковые карманы с листочкой</w:t>
            </w:r>
          </w:p>
          <w:p>
            <w:pPr>
              <w:pStyle w:val="Style19"/>
              <w:numPr>
                <w:ilvl w:val="0"/>
                <w:numId w:val="9"/>
              </w:numPr>
              <w:framePr w:w="10334" w:wrap="notBeside" w:vAnchor="text" w:hAnchor="text" w:xAlign="center" w:y="1"/>
              <w:tabs>
                <w:tab w:leader="none" w:pos="106" w:val="left"/>
              </w:tabs>
              <w:widowControl w:val="0"/>
              <w:keepNext w:val="0"/>
              <w:keepLines w:val="0"/>
              <w:shd w:val="clear" w:color="auto" w:fill="auto"/>
              <w:bidi w:val="0"/>
              <w:jc w:val="both"/>
              <w:spacing w:before="0" w:after="0" w:line="206" w:lineRule="exact"/>
              <w:ind w:left="0" w:right="0" w:firstLine="0"/>
            </w:pPr>
            <w:r>
              <w:rPr>
                <w:rStyle w:val="CharStyle28"/>
              </w:rPr>
              <w:t>нижний воротник-стойка из флиса</w:t>
            </w:r>
          </w:p>
          <w:p>
            <w:pPr>
              <w:pStyle w:val="Style19"/>
              <w:numPr>
                <w:ilvl w:val="0"/>
                <w:numId w:val="9"/>
              </w:numPr>
              <w:framePr w:w="10334" w:wrap="notBeside" w:vAnchor="text" w:hAnchor="text" w:xAlign="center" w:y="1"/>
              <w:tabs>
                <w:tab w:leader="none" w:pos="141" w:val="left"/>
              </w:tabs>
              <w:widowControl w:val="0"/>
              <w:keepNext w:val="0"/>
              <w:keepLines w:val="0"/>
              <w:shd w:val="clear" w:color="auto" w:fill="auto"/>
              <w:bidi w:val="0"/>
              <w:jc w:val="left"/>
              <w:spacing w:before="0" w:after="0" w:line="206" w:lineRule="exact"/>
              <w:ind w:left="40" w:right="0" w:firstLine="0"/>
            </w:pPr>
            <w:r>
              <w:rPr>
                <w:rStyle w:val="CharStyle28"/>
              </w:rPr>
              <w:t>удобные внутренние карманы под мобильный телефон и документы</w:t>
            </w:r>
          </w:p>
          <w:p>
            <w:pPr>
              <w:pStyle w:val="Style19"/>
              <w:numPr>
                <w:ilvl w:val="0"/>
                <w:numId w:val="9"/>
              </w:numPr>
              <w:framePr w:w="10334" w:wrap="notBeside" w:vAnchor="text" w:hAnchor="text" w:xAlign="center" w:y="1"/>
              <w:tabs>
                <w:tab w:leader="none" w:pos="101" w:val="left"/>
              </w:tabs>
              <w:widowControl w:val="0"/>
              <w:keepNext w:val="0"/>
              <w:keepLines w:val="0"/>
              <w:shd w:val="clear" w:color="auto" w:fill="auto"/>
              <w:bidi w:val="0"/>
              <w:jc w:val="both"/>
              <w:spacing w:before="0" w:after="0" w:line="206" w:lineRule="exact"/>
              <w:ind w:left="0" w:right="0" w:firstLine="0"/>
            </w:pPr>
            <w:r>
              <w:rPr>
                <w:rStyle w:val="CharStyle28"/>
              </w:rPr>
              <w:t>отстёгивающийся капюшон</w:t>
            </w:r>
          </w:p>
          <w:p>
            <w:pPr>
              <w:pStyle w:val="Style19"/>
              <w:numPr>
                <w:ilvl w:val="0"/>
                <w:numId w:val="9"/>
              </w:numPr>
              <w:framePr w:w="10334" w:wrap="notBeside" w:vAnchor="text" w:hAnchor="text" w:xAlign="center" w:y="1"/>
              <w:tabs>
                <w:tab w:leader="none" w:pos="146" w:val="left"/>
              </w:tabs>
              <w:widowControl w:val="0"/>
              <w:keepNext w:val="0"/>
              <w:keepLines w:val="0"/>
              <w:shd w:val="clear" w:color="auto" w:fill="auto"/>
              <w:bidi w:val="0"/>
              <w:jc w:val="left"/>
              <w:spacing w:before="0" w:after="0" w:line="206" w:lineRule="exact"/>
              <w:ind w:left="40" w:right="0" w:firstLine="0"/>
            </w:pPr>
            <w:r>
              <w:rPr>
                <w:rStyle w:val="CharStyle28"/>
              </w:rPr>
              <w:t>отделка световозвращающим кантом Размер 52-54-2шт</w:t>
            </w:r>
          </w:p>
          <w:p>
            <w:pPr>
              <w:pStyle w:val="Style19"/>
              <w:framePr w:w="1033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8"/>
              </w:rPr>
              <w:t>Размер 48-50-1 шт.</w:t>
            </w:r>
          </w:p>
        </w:tc>
        <w:tc>
          <w:tcPr>
            <w:shd w:val="clear" w:color="auto" w:fill="FFFFFF"/>
            <w:tcBorders>
              <w:left w:val="single" w:sz="4"/>
              <w:top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8"/>
              </w:rPr>
              <w:t>ГОСТ 12.4.236- 2011</w:t>
            </w:r>
          </w:p>
          <w:p>
            <w:pPr>
              <w:pStyle w:val="Style19"/>
              <w:framePr w:w="10334" w:wrap="notBeside" w:vAnchor="text" w:hAnchor="text" w:xAlign="center" w:y="1"/>
              <w:widowControl w:val="0"/>
              <w:keepNext w:val="0"/>
              <w:keepLines w:val="0"/>
              <w:shd w:val="clear" w:color="auto" w:fill="auto"/>
              <w:bidi w:val="0"/>
              <w:jc w:val="left"/>
              <w:spacing w:before="0" w:after="0" w:line="202" w:lineRule="exact"/>
              <w:ind w:left="20" w:right="0" w:firstLine="0"/>
            </w:pPr>
            <w:r>
              <w:rPr>
                <w:rStyle w:val="CharStyle28"/>
              </w:rPr>
              <w:t>ТР ТС 019/2011</w:t>
            </w:r>
          </w:p>
        </w:tc>
        <w:tc>
          <w:tcPr>
            <w:shd w:val="clear" w:color="auto" w:fill="FFFFFF"/>
            <w:tcBorders>
              <w:left w:val="single" w:sz="4"/>
              <w:right w:val="single" w:sz="4"/>
              <w:top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8"/>
              </w:rPr>
              <w:t>3</w:t>
            </w:r>
          </w:p>
        </w:tc>
      </w:tr>
      <w:tr>
        <w:trPr>
          <w:trHeight w:val="2707" w:hRule="exact"/>
        </w:trPr>
        <w:tc>
          <w:tcPr>
            <w:shd w:val="clear" w:color="auto" w:fill="FFFFFF"/>
            <w:tcBorders>
              <w:left w:val="single" w:sz="4"/>
              <w:top w:val="single" w:sz="4"/>
            </w:tcBorders>
            <w:vAlign w:val="top"/>
          </w:tcPr>
          <w:p>
            <w:pPr>
              <w:framePr w:w="103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202" w:lineRule="exact"/>
              <w:ind w:left="40" w:right="0" w:firstLine="0"/>
            </w:pPr>
            <w:r>
              <w:rPr>
                <w:rStyle w:val="CharStyle27"/>
              </w:rPr>
              <w:t>Жилет утепленный</w:t>
            </w:r>
          </w:p>
          <w:p>
            <w:pPr>
              <w:pStyle w:val="Style19"/>
              <w:framePr w:w="10334" w:wrap="notBeside" w:vAnchor="text" w:hAnchor="text" w:xAlign="center" w:y="1"/>
              <w:widowControl w:val="0"/>
              <w:keepNext w:val="0"/>
              <w:keepLines w:val="0"/>
              <w:shd w:val="clear" w:color="auto" w:fill="auto"/>
              <w:bidi w:val="0"/>
              <w:jc w:val="left"/>
              <w:spacing w:before="0" w:after="0" w:line="202" w:lineRule="exact"/>
              <w:ind w:left="40" w:right="0" w:firstLine="0"/>
            </w:pPr>
            <w:r>
              <w:rPr>
                <w:rStyle w:val="CharStyle27"/>
              </w:rPr>
              <w:t>женский</w:t>
            </w:r>
          </w:p>
          <w:p>
            <w:pPr>
              <w:pStyle w:val="Style19"/>
              <w:framePr w:w="10334" w:wrap="notBeside" w:vAnchor="text" w:hAnchor="text" w:xAlign="center" w:y="1"/>
              <w:widowControl w:val="0"/>
              <w:keepNext w:val="0"/>
              <w:keepLines w:val="0"/>
              <w:shd w:val="clear" w:color="auto" w:fill="auto"/>
              <w:bidi w:val="0"/>
              <w:jc w:val="left"/>
              <w:spacing w:before="0" w:after="0" w:line="202" w:lineRule="exact"/>
              <w:ind w:left="40" w:right="0" w:firstLine="0"/>
            </w:pPr>
            <w:r>
              <w:rPr>
                <w:rStyle w:val="CharStyle27"/>
              </w:rPr>
              <w:t>14.12.11.120</w:t>
            </w:r>
          </w:p>
        </w:tc>
        <w:tc>
          <w:tcPr>
            <w:shd w:val="clear" w:color="auto" w:fill="FFFFFF"/>
            <w:tcBorders>
              <w:left w:val="single" w:sz="4"/>
              <w:top w:val="single" w:sz="4"/>
            </w:tcBorders>
            <w:vAlign w:val="bottom"/>
          </w:tcPr>
          <w:p>
            <w:pPr>
              <w:pStyle w:val="Style19"/>
              <w:framePr w:w="1033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8"/>
              </w:rPr>
              <w:t>Цвет: светлый</w:t>
            </w:r>
          </w:p>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8"/>
              </w:rPr>
              <w:t>Ткань верха: «Дьюспо», (или эквивалент) 100% п/э, пл. не менее 90 г/м</w:t>
            </w:r>
            <w:r>
              <w:rPr>
                <w:rStyle w:val="CharStyle28"/>
                <w:vertAlign w:val="superscript"/>
              </w:rPr>
              <w:t>2</w:t>
            </w:r>
            <w:r>
              <w:rPr>
                <w:rStyle w:val="CharStyle28"/>
              </w:rPr>
              <w:t xml:space="preserve">, водоотталкивающая и водонепроницаемая пропитка Утеплитель: </w:t>
            </w:r>
            <w:r>
              <w:rPr>
                <w:rStyle w:val="CharStyle28"/>
                <w:lang w:val="en-US" w:eastAsia="en-US" w:bidi="en-US"/>
              </w:rPr>
              <w:t xml:space="preserve">Sintoteks </w:t>
            </w:r>
            <w:r>
              <w:rPr>
                <w:rStyle w:val="CharStyle28"/>
              </w:rPr>
              <w:t>(Синтотекс)(или эквивалент) - 2 слоя пл. не менее 240 г/м</w:t>
            </w:r>
            <w:r>
              <w:rPr>
                <w:rStyle w:val="CharStyle28"/>
                <w:vertAlign w:val="superscript"/>
              </w:rPr>
              <w:t>2</w:t>
            </w:r>
            <w:r>
              <w:rPr>
                <w:rStyle w:val="CharStyle28"/>
              </w:rPr>
              <w:t xml:space="preserve"> Подкладка: 100% п/э Жилет:</w:t>
            </w:r>
          </w:p>
          <w:p>
            <w:pPr>
              <w:pStyle w:val="Style19"/>
              <w:numPr>
                <w:ilvl w:val="0"/>
                <w:numId w:val="11"/>
              </w:numPr>
              <w:framePr w:w="10334" w:wrap="notBeside" w:vAnchor="text" w:hAnchor="text" w:xAlign="center" w:y="1"/>
              <w:tabs>
                <w:tab w:leader="none" w:pos="106" w:val="left"/>
              </w:tabs>
              <w:widowControl w:val="0"/>
              <w:keepNext w:val="0"/>
              <w:keepLines w:val="0"/>
              <w:shd w:val="clear" w:color="auto" w:fill="auto"/>
              <w:bidi w:val="0"/>
              <w:jc w:val="both"/>
              <w:spacing w:before="0" w:after="0" w:line="206" w:lineRule="exact"/>
              <w:ind w:left="0" w:right="0" w:firstLine="0"/>
            </w:pPr>
            <w:r>
              <w:rPr>
                <w:rStyle w:val="CharStyle28"/>
              </w:rPr>
              <w:t>утеплённый</w:t>
            </w:r>
          </w:p>
          <w:p>
            <w:pPr>
              <w:pStyle w:val="Style19"/>
              <w:numPr>
                <w:ilvl w:val="0"/>
                <w:numId w:val="11"/>
              </w:numPr>
              <w:framePr w:w="10334" w:wrap="notBeside" w:vAnchor="text" w:hAnchor="text" w:xAlign="center" w:y="1"/>
              <w:tabs>
                <w:tab w:leader="none" w:pos="106" w:val="left"/>
              </w:tabs>
              <w:widowControl w:val="0"/>
              <w:keepNext w:val="0"/>
              <w:keepLines w:val="0"/>
              <w:shd w:val="clear" w:color="auto" w:fill="auto"/>
              <w:bidi w:val="0"/>
              <w:jc w:val="both"/>
              <w:spacing w:before="0" w:after="0" w:line="206" w:lineRule="exact"/>
              <w:ind w:left="0" w:right="0" w:firstLine="0"/>
            </w:pPr>
            <w:r>
              <w:rPr>
                <w:rStyle w:val="CharStyle28"/>
              </w:rPr>
              <w:t>центральная застёжка на молнию</w:t>
            </w:r>
          </w:p>
          <w:p>
            <w:pPr>
              <w:pStyle w:val="Style19"/>
              <w:numPr>
                <w:ilvl w:val="0"/>
                <w:numId w:val="11"/>
              </w:numPr>
              <w:framePr w:w="10334" w:wrap="notBeside" w:vAnchor="text" w:hAnchor="text" w:xAlign="center" w:y="1"/>
              <w:tabs>
                <w:tab w:leader="none" w:pos="146" w:val="left"/>
              </w:tabs>
              <w:widowControl w:val="0"/>
              <w:keepNext w:val="0"/>
              <w:keepLines w:val="0"/>
              <w:shd w:val="clear" w:color="auto" w:fill="auto"/>
              <w:bidi w:val="0"/>
              <w:jc w:val="left"/>
              <w:spacing w:before="0" w:after="0" w:line="206" w:lineRule="exact"/>
              <w:ind w:left="40" w:right="0" w:firstLine="0"/>
            </w:pPr>
            <w:r>
              <w:rPr>
                <w:rStyle w:val="CharStyle28"/>
              </w:rPr>
              <w:t>фигурный воротник-стойка Размер 48-50/158-164-Зшт;</w:t>
            </w:r>
          </w:p>
          <w:p>
            <w:pPr>
              <w:pStyle w:val="Style19"/>
              <w:framePr w:w="1033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8"/>
              </w:rPr>
              <w:t>Размер 52-54/170-176-5шт;</w:t>
            </w:r>
          </w:p>
          <w:p>
            <w:pPr>
              <w:pStyle w:val="Style19"/>
              <w:framePr w:w="1033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8"/>
              </w:rPr>
              <w:t>Размер 56-58/158-164-2шт;</w:t>
            </w:r>
          </w:p>
          <w:p>
            <w:pPr>
              <w:pStyle w:val="Style19"/>
              <w:framePr w:w="1033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8"/>
              </w:rPr>
              <w:t>Размер 56-58/170-176-2шт.</w:t>
            </w:r>
          </w:p>
        </w:tc>
        <w:tc>
          <w:tcPr>
            <w:shd w:val="clear" w:color="auto" w:fill="FFFFFF"/>
            <w:tcBorders>
              <w:left w:val="single" w:sz="4"/>
              <w:top w:val="single" w:sz="4"/>
            </w:tcBorders>
            <w:vAlign w:val="top"/>
          </w:tcPr>
          <w:p>
            <w:pPr>
              <w:framePr w:w="1033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8"/>
              </w:rPr>
              <w:t>12</w:t>
            </w:r>
          </w:p>
        </w:tc>
      </w:tr>
      <w:tr>
        <w:trPr>
          <w:trHeight w:val="2918" w:hRule="exact"/>
        </w:trPr>
        <w:tc>
          <w:tcPr>
            <w:shd w:val="clear" w:color="auto" w:fill="FFFFFF"/>
            <w:tcBorders>
              <w:left w:val="single" w:sz="4"/>
              <w:top w:val="single" w:sz="4"/>
              <w:bottom w:val="single" w:sz="4"/>
            </w:tcBorders>
            <w:vAlign w:val="top"/>
          </w:tcPr>
          <w:p>
            <w:pPr>
              <w:framePr w:w="10334"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206" w:lineRule="exact"/>
              <w:ind w:left="40" w:right="0" w:firstLine="0"/>
            </w:pPr>
            <w:r>
              <w:rPr>
                <w:rStyle w:val="CharStyle27"/>
              </w:rPr>
              <w:t>Куртка х/б 14.13.31.120</w:t>
            </w:r>
          </w:p>
        </w:tc>
        <w:tc>
          <w:tcPr>
            <w:shd w:val="clear" w:color="auto" w:fill="FFFFFF"/>
            <w:tcBorders>
              <w:left w:val="single" w:sz="4"/>
              <w:top w:val="single" w:sz="4"/>
              <w:bottom w:val="single" w:sz="4"/>
            </w:tcBorders>
            <w:vAlign w:val="bottom"/>
          </w:tcPr>
          <w:p>
            <w:pPr>
              <w:pStyle w:val="Style19"/>
              <w:framePr w:w="10334"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Цвет: темный</w:t>
            </w:r>
          </w:p>
          <w:p>
            <w:pPr>
              <w:pStyle w:val="Style19"/>
              <w:framePr w:w="10334" w:wrap="notBeside" w:vAnchor="text" w:hAnchor="text" w:xAlign="center" w:y="1"/>
              <w:widowControl w:val="0"/>
              <w:keepNext w:val="0"/>
              <w:keepLines w:val="0"/>
              <w:shd w:val="clear" w:color="auto" w:fill="auto"/>
              <w:bidi w:val="0"/>
              <w:jc w:val="left"/>
              <w:spacing w:before="0" w:after="0" w:line="202" w:lineRule="exact"/>
              <w:ind w:left="40" w:right="0" w:firstLine="0"/>
            </w:pPr>
            <w:r>
              <w:rPr>
                <w:rStyle w:val="CharStyle28"/>
              </w:rPr>
              <w:t>Ткань верха : «спандекс + мембрана + микрофлис (или эквивалент)</w:t>
            </w:r>
          </w:p>
          <w:p>
            <w:pPr>
              <w:pStyle w:val="Style19"/>
              <w:framePr w:w="10334"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8"/>
              </w:rPr>
              <w:t>Куртка:</w:t>
            </w:r>
          </w:p>
          <w:p>
            <w:pPr>
              <w:pStyle w:val="Style19"/>
              <w:numPr>
                <w:ilvl w:val="0"/>
                <w:numId w:val="13"/>
              </w:numPr>
              <w:framePr w:w="10334"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прямого силуэта</w:t>
            </w:r>
          </w:p>
          <w:p>
            <w:pPr>
              <w:pStyle w:val="Style19"/>
              <w:numPr>
                <w:ilvl w:val="0"/>
                <w:numId w:val="13"/>
              </w:numPr>
              <w:framePr w:w="10334" w:wrap="notBeside" w:vAnchor="text" w:hAnchor="text" w:xAlign="center" w:y="1"/>
              <w:tabs>
                <w:tab w:leader="none" w:pos="106" w:val="left"/>
              </w:tabs>
              <w:widowControl w:val="0"/>
              <w:keepNext w:val="0"/>
              <w:keepLines w:val="0"/>
              <w:shd w:val="clear" w:color="auto" w:fill="auto"/>
              <w:bidi w:val="0"/>
              <w:jc w:val="both"/>
              <w:spacing w:before="0" w:after="0" w:line="202" w:lineRule="exact"/>
              <w:ind w:left="0" w:right="0" w:firstLine="0"/>
            </w:pPr>
            <w:r>
              <w:rPr>
                <w:rStyle w:val="CharStyle28"/>
              </w:rPr>
              <w:t>центральная застёжка на молнию</w:t>
            </w:r>
          </w:p>
          <w:p>
            <w:pPr>
              <w:pStyle w:val="Style19"/>
              <w:numPr>
                <w:ilvl w:val="0"/>
                <w:numId w:val="13"/>
              </w:numPr>
              <w:framePr w:w="10334"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капюшон с регулировкой по высоте и ширине</w:t>
            </w:r>
          </w:p>
          <w:p>
            <w:pPr>
              <w:pStyle w:val="Style19"/>
              <w:numPr>
                <w:ilvl w:val="0"/>
                <w:numId w:val="13"/>
              </w:numPr>
              <w:framePr w:w="10334"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на кокетке</w:t>
            </w:r>
          </w:p>
          <w:p>
            <w:pPr>
              <w:pStyle w:val="Style19"/>
              <w:numPr>
                <w:ilvl w:val="0"/>
                <w:numId w:val="13"/>
              </w:numPr>
              <w:framePr w:w="10334"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нагрудные карманами с застёжкой на молнию</w:t>
            </w:r>
          </w:p>
          <w:p>
            <w:pPr>
              <w:pStyle w:val="Style19"/>
              <w:numPr>
                <w:ilvl w:val="0"/>
                <w:numId w:val="13"/>
              </w:numPr>
              <w:framePr w:w="10334"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нижние карманы</w:t>
            </w:r>
          </w:p>
          <w:p>
            <w:pPr>
              <w:pStyle w:val="Style19"/>
              <w:numPr>
                <w:ilvl w:val="0"/>
                <w:numId w:val="13"/>
              </w:numPr>
              <w:framePr w:w="10334" w:wrap="notBeside" w:vAnchor="text" w:hAnchor="text" w:xAlign="center" w:y="1"/>
              <w:tabs>
                <w:tab w:leader="none" w:pos="110" w:val="left"/>
              </w:tabs>
              <w:widowControl w:val="0"/>
              <w:keepNext w:val="0"/>
              <w:keepLines w:val="0"/>
              <w:shd w:val="clear" w:color="auto" w:fill="auto"/>
              <w:bidi w:val="0"/>
              <w:jc w:val="both"/>
              <w:spacing w:before="0" w:after="0" w:line="202" w:lineRule="exact"/>
              <w:ind w:left="0" w:right="0" w:firstLine="0"/>
            </w:pPr>
            <w:r>
              <w:rPr>
                <w:rStyle w:val="CharStyle28"/>
              </w:rPr>
              <w:t>внутренний карман с застежкой на молнию на левой полочке</w:t>
            </w:r>
          </w:p>
          <w:p>
            <w:pPr>
              <w:pStyle w:val="Style19"/>
              <w:numPr>
                <w:ilvl w:val="0"/>
                <w:numId w:val="13"/>
              </w:numPr>
              <w:framePr w:w="10334" w:wrap="notBeside" w:vAnchor="text" w:hAnchor="text" w:xAlign="center" w:y="1"/>
              <w:tabs>
                <w:tab w:leader="none" w:pos="106" w:val="left"/>
              </w:tabs>
              <w:widowControl w:val="0"/>
              <w:keepNext w:val="0"/>
              <w:keepLines w:val="0"/>
              <w:shd w:val="clear" w:color="auto" w:fill="auto"/>
              <w:bidi w:val="0"/>
              <w:jc w:val="both"/>
              <w:spacing w:before="0" w:after="0" w:line="202" w:lineRule="exact"/>
              <w:ind w:left="0" w:right="0" w:firstLine="0"/>
            </w:pPr>
            <w:r>
              <w:rPr>
                <w:rStyle w:val="CharStyle28"/>
              </w:rPr>
              <w:t>рукав с манжетой на эластичной ленте с патой и лентой-контакт</w:t>
            </w:r>
          </w:p>
          <w:p>
            <w:pPr>
              <w:pStyle w:val="Style19"/>
              <w:numPr>
                <w:ilvl w:val="0"/>
                <w:numId w:val="13"/>
              </w:numPr>
              <w:framePr w:w="10334" w:wrap="notBeside" w:vAnchor="text" w:hAnchor="text" w:xAlign="center" w:y="1"/>
              <w:tabs>
                <w:tab w:leader="none" w:pos="198" w:val="left"/>
              </w:tabs>
              <w:widowControl w:val="0"/>
              <w:keepNext w:val="0"/>
              <w:keepLines w:val="0"/>
              <w:shd w:val="clear" w:color="auto" w:fill="auto"/>
              <w:bidi w:val="0"/>
              <w:jc w:val="left"/>
              <w:spacing w:before="0" w:after="0" w:line="202" w:lineRule="exact"/>
              <w:ind w:left="40" w:right="0" w:firstLine="0"/>
            </w:pPr>
            <w:r>
              <w:rPr>
                <w:rStyle w:val="CharStyle28"/>
              </w:rPr>
              <w:t>вентиляционные отверстия в пройме Размер 52-54-1; 60-62-1</w:t>
            </w:r>
          </w:p>
        </w:tc>
        <w:tc>
          <w:tcPr>
            <w:shd w:val="clear" w:color="auto" w:fill="FFFFFF"/>
            <w:tcBorders>
              <w:left w:val="single" w:sz="4"/>
              <w:top w:val="single" w:sz="4"/>
              <w:bottom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206" w:lineRule="exact"/>
              <w:ind w:left="20" w:right="0" w:firstLine="0"/>
            </w:pPr>
            <w:r>
              <w:rPr>
                <w:rStyle w:val="CharStyle28"/>
              </w:rPr>
              <w:t>ТРТС 017/2011 ГОСТ 25295-2003</w:t>
            </w:r>
          </w:p>
        </w:tc>
        <w:tc>
          <w:tcPr>
            <w:shd w:val="clear" w:color="auto" w:fill="FFFFFF"/>
            <w:tcBorders>
              <w:left w:val="single" w:sz="4"/>
              <w:right w:val="single" w:sz="4"/>
              <w:top w:val="single" w:sz="4"/>
              <w:bottom w:val="single" w:sz="4"/>
            </w:tcBorders>
            <w:vAlign w:val="center"/>
          </w:tcPr>
          <w:p>
            <w:pPr>
              <w:pStyle w:val="Style19"/>
              <w:framePr w:w="10334"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8"/>
              </w:rPr>
              <w:t>2</w:t>
            </w:r>
          </w:p>
        </w:tc>
      </w:tr>
    </w:tbl>
    <w:p>
      <w:pPr>
        <w:widowControl w:val="0"/>
        <w:rPr>
          <w:sz w:val="2"/>
          <w:szCs w:val="2"/>
        </w:rPr>
      </w:pPr>
    </w:p>
    <w:p>
      <w:pPr>
        <w:pStyle w:val="Style19"/>
        <w:widowControl w:val="0"/>
        <w:keepNext w:val="0"/>
        <w:keepLines w:val="0"/>
        <w:shd w:val="clear" w:color="auto" w:fill="auto"/>
        <w:bidi w:val="0"/>
        <w:jc w:val="both"/>
        <w:spacing w:before="0" w:after="0" w:line="274" w:lineRule="exact"/>
        <w:ind w:left="140" w:right="20" w:firstLine="560"/>
      </w:pPr>
      <w:r>
        <w:rPr>
          <w:lang w:val="ru-RU" w:eastAsia="ru-RU" w:bidi="ru-RU"/>
          <w:w w:val="100"/>
          <w:spacing w:val="0"/>
          <w:color w:val="000000"/>
          <w:position w:val="0"/>
        </w:rPr>
        <w:t>Заявитель в составе поданной им первой части заявки на участие в аукционе по вышеуказанным позициям указал в характеристиках поставляемых товаров цвет: темный, светлый или не светлый (в зависимости от позиции товара).</w:t>
      </w:r>
    </w:p>
    <w:p>
      <w:pPr>
        <w:pStyle w:val="Style19"/>
        <w:widowControl w:val="0"/>
        <w:keepNext w:val="0"/>
        <w:keepLines w:val="0"/>
        <w:shd w:val="clear" w:color="auto" w:fill="auto"/>
        <w:bidi w:val="0"/>
        <w:jc w:val="both"/>
        <w:spacing w:before="0" w:after="0" w:line="274" w:lineRule="exact"/>
        <w:ind w:left="140" w:right="20" w:firstLine="560"/>
      </w:pPr>
      <w:r>
        <w:rPr>
          <w:lang w:val="ru-RU" w:eastAsia="ru-RU" w:bidi="ru-RU"/>
          <w:w w:val="100"/>
          <w:spacing w:val="0"/>
          <w:color w:val="000000"/>
          <w:position w:val="0"/>
        </w:rPr>
        <w:t>Согласно подпункту б) пункта 20 раздела I аукционной документации первая часть заявки на участие в электронном аукционе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По мнению Заказчика, первая часть заявки Заявителя не содержит информацию о конкретном показателе цвета, а только указание на диапазон.</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В силу пункта 1 части 1 статьи 33 Закона № 44-ФЗ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Кроме того, в соответствии с частью 2 статьи 33 Закона № 44-ФЗ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Обязанность Заказчика по определению таких показателей обусловлена необходимостью доведения до участников аукциона понятных и доступных требований к составу и содержанию заявки.</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Согласно пунктам 1 и 2 части 1 статьи 64 Закона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w:t>
      </w:r>
    </w:p>
    <w:p>
      <w:pPr>
        <w:pStyle w:val="Style19"/>
        <w:numPr>
          <w:ilvl w:val="0"/>
          <w:numId w:val="15"/>
        </w:numPr>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Закона № 44-ФЗ, в том числе обоснование начальной (максимальной) цены контракта;</w:t>
      </w:r>
    </w:p>
    <w:p>
      <w:pPr>
        <w:pStyle w:val="Style19"/>
        <w:numPr>
          <w:ilvl w:val="0"/>
          <w:numId w:val="15"/>
        </w:numPr>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3-6 статьи 66 Закона № 44-ФЗ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В рассматриваемом случае в техническом задании аукционной документации Заказчик установил требование к товару по цвету («темный, светлый или не светлый» в зависимости от позиции товара), не указав при этом конкретные показатели данного требования, максимальные и (или) минимальные значения показателей, позволяющие определить соответствие закупаемого товара установленным Заказчиком требованиям.</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Использование в требованиях к цвету товара формулировок «тёмный, светлый или не светлый» не позволяет определить, какие из цветов относятся к той или иной цветовой категории, существует ли различие между категориями цветов «не светлых» и «тёмных» и т.п.</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Инструкция по заполнению заявки также не содержит порядка описания участниками аукциона цвета товара и отнесения цвета к категории «тёмный», «светлый» или «не светлый».</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Комиссия пришла к выводу о том, что Заказчик не установил надлежащим образом значения показателей товаров, указанных в аукционной документации, описание объекта закупки при таких условиях не может быть объективным.</w:t>
      </w:r>
    </w:p>
    <w:p>
      <w:pPr>
        <w:pStyle w:val="Style19"/>
        <w:widowControl w:val="0"/>
        <w:keepNext w:val="0"/>
        <w:keepLines w:val="0"/>
        <w:shd w:val="clear" w:color="auto" w:fill="auto"/>
        <w:bidi w:val="0"/>
        <w:jc w:val="both"/>
        <w:spacing w:before="0" w:after="0" w:line="274" w:lineRule="exact"/>
        <w:ind w:left="60" w:right="0" w:firstLine="540"/>
      </w:pPr>
      <w:r>
        <w:rPr>
          <w:lang w:val="ru-RU" w:eastAsia="ru-RU" w:bidi="ru-RU"/>
          <w:w w:val="100"/>
          <w:spacing w:val="0"/>
          <w:color w:val="000000"/>
          <w:position w:val="0"/>
        </w:rPr>
        <w:t>В действиях Заказчика содержится нарушение части 1 статьи 64 Закона № 44-ФЗ.</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 xml:space="preserve">Указанное обстоятельство привело к необоснованному отказу в допуске на участие в аукционе участникам с номерами заявок </w:t>
      </w:r>
      <w:r>
        <w:rPr>
          <w:rStyle w:val="CharStyle29"/>
        </w:rPr>
        <w:t>1,2,4,</w:t>
      </w:r>
      <w:r>
        <w:rPr>
          <w:lang w:val="ru-RU" w:eastAsia="ru-RU" w:bidi="ru-RU"/>
          <w:w w:val="100"/>
          <w:spacing w:val="0"/>
          <w:color w:val="000000"/>
          <w:position w:val="0"/>
        </w:rPr>
        <w:t xml:space="preserve"> 5, 6.</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Заказчиком в техническом задании требования к товару по цвету определены как «темный, светлый или не светлый». Между тем, при указании участником в своей заявке цвета товара в соответствии с требованиями аукционной документации, его заявка отклоняется в связи с тем, что она не содержит показателей цвета.</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Таким образом, Комиссия приходит к выводу, что аукционной комиссией Заказчика неправомерно принято решение об отказе Заявителю в допуске к участию в аукционе, что нарушает часть 5 статьи 67 Закона № 44-ФЗ.</w:t>
      </w:r>
    </w:p>
    <w:p>
      <w:pPr>
        <w:pStyle w:val="Style19"/>
        <w:widowControl w:val="0"/>
        <w:keepNext w:val="0"/>
        <w:keepLines w:val="0"/>
        <w:shd w:val="clear" w:color="auto" w:fill="auto"/>
        <w:bidi w:val="0"/>
        <w:jc w:val="both"/>
        <w:spacing w:before="0" w:after="0" w:line="274" w:lineRule="exact"/>
        <w:ind w:left="60" w:right="0" w:firstLine="540"/>
      </w:pPr>
      <w:r>
        <w:rPr>
          <w:lang w:val="ru-RU" w:eastAsia="ru-RU" w:bidi="ru-RU"/>
          <w:w w:val="100"/>
          <w:spacing w:val="0"/>
          <w:color w:val="000000"/>
          <w:position w:val="0"/>
        </w:rPr>
        <w:t>Доводы жалобы Заявителя нашли свое подтверждение, жалоба является обоснованной.</w:t>
      </w:r>
    </w:p>
    <w:p>
      <w:pPr>
        <w:pStyle w:val="Style19"/>
        <w:numPr>
          <w:ilvl w:val="0"/>
          <w:numId w:val="3"/>
        </w:numPr>
        <w:tabs>
          <w:tab w:leader="none" w:pos="972" w:val="left"/>
        </w:tabs>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В соответствии с частью 2 статьи 96 Закона № 44-ФЗ Заказчик вправе установить требование обеспечения исполнения контракта в извещении об осуществлении закупки и (или) в проекте контракта, в том числе, при осуществлении закупки в случаях, предусмотренных параграфом 3 главы 3 (если начальная (максимальная) цена контракта не превышает пятьсот тысяч рублей). При этом, в силу части 1 статьи 34 Закона № 44-ФЗ, контракт заключается на условиях, предусмотренных извещением об осуществлении закупки и документацией о закупке.</w:t>
      </w:r>
    </w:p>
    <w:p>
      <w:pPr>
        <w:pStyle w:val="Style19"/>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Согласно части 3 статьи 96 Закона № 44-ФЗ, исполнение контракта может обеспечиваться предоставлением банковской гарантии, выданной банком 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Кроме того, в ходе исполнения контракта, в силу части 7 статьи 96 Закона № 44-ФЗ,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 пункте 7.1 проекта контракта Заказчиком указано следующее: «в случае, если по каким- 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контракта на тех же условиях и в том же размере, что указаны в данном разделе контракта».</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Из смысла статьи 96 Закона № 44-ФЗ следует право заказчика на получение обеспечения исполнения контракта на стадии его заключения. Возможность требовать представления нового обеспечения на стадии исполнения контракта Законом № 44-ФЗ не предусмотрена. При этом уменьшение размера обеспечения или изменение способа обеспечения исполнения контракта на стадии исполнения контракта является правом самого поставщика (исполнителя, подрядчика).</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Устанавливая требование о предоставлении нового обеспечения, Заказчик возложил на поставщика обязанность, не предусмотренную положениями Закона № 44-ФЗ. Более того, условие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не конкретизировано и имеет широкое толкование.</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Таким образом, может возникнуть ситуация злоупотребления Заказчиком своим правом при любой потенциальной возможности отсутствия гарантий того, что представленное обеспечение исполнения контракта перестанет обеспечивать исполнение поставщиком своих обязательств.</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На основании изложенного Заказчик нарушил часть 3 статьи 96 Закона № 44-ФЗ, не предусматривающую обязанность поставщика предоставлять новое обеспечение на стадии исполнения контракта.</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Данная правовая позиция изложена в Постановлении Арбитражного суда Северо- Кавказского округа № Ф08-8463/2016 от 10.11.2016 по делу № А53-11454/2016.</w:t>
      </w:r>
    </w:p>
    <w:p>
      <w:pPr>
        <w:pStyle w:val="Style19"/>
        <w:numPr>
          <w:ilvl w:val="0"/>
          <w:numId w:val="3"/>
        </w:numPr>
        <w:tabs>
          <w:tab w:leader="none" w:pos="1067" w:val="left"/>
        </w:tabs>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Довод Заказчика о нарушении ООО «АнтАлекс» сроков обжалования действий аукционной комиссии Заказчика отклоняется ввиду следующего.</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Закон № 44-ФЗ основывается среди прочего на положениях Гражданского кодекса РФ, в соответствии с положениями которого письменные заявления и извещения, сданные в организацию связи до двадцати четырех часов последнего дня срока, считаются сделанными в срок. Следовательно, жалобы, направленные по почте в установленный срок, не могут быть возвращены без рассмотрения из-за того, что нарушены сроки обжалования.</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Жалоба ООО «АнтАлекс» направлена по почте 24.04.2017, то есть до истечения сроков, установленных Законом № 44-ФЗ на обжалование действий комиссии Заказчика. Таким образом, основания для возврата данной жалобы отсутствовали.</w:t>
      </w:r>
    </w:p>
    <w:p>
      <w:pPr>
        <w:pStyle w:val="Style1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Учитывая, что по результатам аукциона заключен контракт, выдача предписания является нецелесообразной.</w:t>
      </w:r>
    </w:p>
    <w:p>
      <w:pPr>
        <w:pStyle w:val="Style19"/>
        <w:widowControl w:val="0"/>
        <w:keepNext w:val="0"/>
        <w:keepLines w:val="0"/>
        <w:shd w:val="clear" w:color="auto" w:fill="auto"/>
        <w:bidi w:val="0"/>
        <w:jc w:val="both"/>
        <w:spacing w:before="0" w:after="283" w:line="274" w:lineRule="exact"/>
        <w:ind w:left="40" w:right="40" w:firstLine="580"/>
      </w:pPr>
      <w:r>
        <w:rPr>
          <w:lang w:val="ru-RU" w:eastAsia="ru-RU" w:bidi="ru-RU"/>
          <w:w w:val="100"/>
          <w:spacing w:val="0"/>
          <w:color w:val="000000"/>
          <w:position w:val="0"/>
        </w:rPr>
        <w:t>На основании изложенного, Комиссия, руководствуясь постановлением Правительства РФ от 26.08.2013 № 728, частью 15 статьи 99, частью 8 статьи 106 Закона № 44-ФЗ,</w:t>
      </w:r>
    </w:p>
    <w:p>
      <w:pPr>
        <w:pStyle w:val="Style19"/>
        <w:widowControl w:val="0"/>
        <w:keepNext w:val="0"/>
        <w:keepLines w:val="0"/>
        <w:shd w:val="clear" w:color="auto" w:fill="auto"/>
        <w:bidi w:val="0"/>
        <w:jc w:val="center"/>
        <w:spacing w:before="0" w:after="215" w:line="220" w:lineRule="exact"/>
        <w:ind w:left="0" w:right="0" w:firstLine="0"/>
      </w:pPr>
      <w:r>
        <w:rPr>
          <w:lang w:val="ru-RU" w:eastAsia="ru-RU" w:bidi="ru-RU"/>
          <w:w w:val="100"/>
          <w:spacing w:val="0"/>
          <w:color w:val="000000"/>
          <w:position w:val="0"/>
        </w:rPr>
        <w:t>РЕШИЛА:</w:t>
      </w:r>
    </w:p>
    <w:p>
      <w:pPr>
        <w:pStyle w:val="Style19"/>
        <w:numPr>
          <w:ilvl w:val="0"/>
          <w:numId w:val="17"/>
        </w:numPr>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 xml:space="preserve"> Признать жалобу ООО «АнтАлекс» обоснованной.</w:t>
      </w:r>
    </w:p>
    <w:p>
      <w:pPr>
        <w:pStyle w:val="Style19"/>
        <w:numPr>
          <w:ilvl w:val="0"/>
          <w:numId w:val="17"/>
        </w:numPr>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 xml:space="preserve"> Признать аукционную комиссию Заказчика нарушившей часть 5 статьи 67 Закона № 44-</w:t>
      </w:r>
    </w:p>
    <w:p>
      <w:pPr>
        <w:pStyle w:val="Style19"/>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ФЗ.</w:t>
      </w:r>
    </w:p>
    <w:p>
      <w:pPr>
        <w:pStyle w:val="Style19"/>
        <w:numPr>
          <w:ilvl w:val="0"/>
          <w:numId w:val="17"/>
        </w:numPr>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 xml:space="preserve"> Признать Заказчика нарушившим часть 1 статьи 64, часть 3 статьи 96 Закона № 44-ФЗ.</w:t>
      </w:r>
    </w:p>
    <w:p>
      <w:pPr>
        <w:pStyle w:val="Style19"/>
        <w:numPr>
          <w:ilvl w:val="0"/>
          <w:numId w:val="17"/>
        </w:numPr>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 xml:space="preserve"> Предписание не выдавать в связи с заключением контракта.</w:t>
      </w:r>
    </w:p>
    <w:p>
      <w:pPr>
        <w:pStyle w:val="Style19"/>
        <w:numPr>
          <w:ilvl w:val="0"/>
          <w:numId w:val="17"/>
        </w:numPr>
        <w:tabs>
          <w:tab w:leader="none" w:pos="920" w:val="left"/>
        </w:tabs>
        <w:widowControl w:val="0"/>
        <w:keepNext w:val="0"/>
        <w:keepLines w:val="0"/>
        <w:shd w:val="clear" w:color="auto" w:fill="auto"/>
        <w:bidi w:val="0"/>
        <w:jc w:val="left"/>
        <w:spacing w:before="0" w:after="233" w:line="269" w:lineRule="exact"/>
        <w:ind w:left="0" w:right="240" w:firstLine="580"/>
      </w:pPr>
      <w:r>
        <w:rPr>
          <w:lang w:val="ru-RU" w:eastAsia="ru-RU" w:bidi="ru-RU"/>
          <w:w w:val="100"/>
          <w:spacing w:val="0"/>
          <w:color w:val="000000"/>
          <w:position w:val="0"/>
        </w:rPr>
        <w:t>Рассмотреть вопрос о привлечении должностных лиц Заказчика к административной ответственности.</w:t>
      </w:r>
    </w:p>
    <w:p>
      <w:pPr>
        <w:pStyle w:val="Style19"/>
        <w:widowControl w:val="0"/>
        <w:keepNext w:val="0"/>
        <w:keepLines w:val="0"/>
        <w:shd w:val="clear" w:color="auto" w:fill="auto"/>
        <w:bidi w:val="0"/>
        <w:jc w:val="left"/>
        <w:spacing w:before="0" w:after="527" w:line="278" w:lineRule="exact"/>
        <w:ind w:left="0" w:right="240" w:firstLine="700"/>
      </w:pPr>
      <w:r>
        <w:rPr>
          <w:lang w:val="ru-RU" w:eastAsia="ru-RU" w:bidi="ru-RU"/>
          <w:w w:val="100"/>
          <w:spacing w:val="0"/>
          <w:color w:val="000000"/>
          <w:position w:val="0"/>
        </w:rPr>
        <w:t>Настоящее решение может быть обжаловано в судебном порядке в течение трёх месяцев со дня его принятия.</w:t>
      </w:r>
    </w:p>
    <w:p>
      <w:pPr>
        <w:pStyle w:val="Style19"/>
        <w:widowControl w:val="0"/>
        <w:keepNext w:val="0"/>
        <w:keepLines w:val="0"/>
        <w:shd w:val="clear" w:color="auto" w:fill="auto"/>
        <w:bidi w:val="0"/>
        <w:jc w:val="left"/>
        <w:spacing w:before="0" w:after="853" w:line="220" w:lineRule="exact"/>
        <w:ind w:left="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6" w:h="16838"/>
      <w:pgMar w:top="568" w:left="747" w:right="723" w:bottom="91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2.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upperRoman"/>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2.05.%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iCs/>
      <w:u w:val="none"/>
      <w:strike w:val="0"/>
      <w:smallCaps w:val="0"/>
      <w:sz w:val="8"/>
      <w:szCs w:val="8"/>
      <w:rFonts w:ascii="Times New Roman" w:eastAsia="Times New Roman" w:hAnsi="Times New Roman" w:cs="Times New Roman"/>
    </w:rPr>
  </w:style>
  <w:style w:type="character" w:customStyle="1" w:styleId="CharStyle5">
    <w:name w:val="Основной текст (5) + 11,5 pt,Масштаб 150% Exact"/>
    <w:basedOn w:val="CharStyle4"/>
    <w:rPr>
      <w:lang w:val="ru-RU" w:eastAsia="ru-RU" w:bidi="ru-RU"/>
      <w:sz w:val="23"/>
      <w:szCs w:val="23"/>
      <w:w w:val="150"/>
      <w:spacing w:val="0"/>
      <w:color w:val="000000"/>
      <w:position w:val="0"/>
    </w:rPr>
  </w:style>
  <w:style w:type="character" w:customStyle="1" w:styleId="CharStyle7">
    <w:name w:val="Основной текст (6) Exact"/>
    <w:basedOn w:val="DefaultParagraphFont"/>
    <w:link w:val="Style6"/>
    <w:rPr>
      <w:b w:val="0"/>
      <w:bCs w:val="0"/>
      <w:i/>
      <w:iCs/>
      <w:u w:val="none"/>
      <w:strike w:val="0"/>
      <w:smallCaps w:val="0"/>
      <w:rFonts w:ascii="Candara" w:eastAsia="Candara" w:hAnsi="Candara" w:cs="Candara"/>
      <w:spacing w:val="2"/>
    </w:rPr>
  </w:style>
  <w:style w:type="character" w:customStyle="1" w:styleId="CharStyle8">
    <w:name w:val="Основной текст (6) Exact"/>
    <w:basedOn w:val="CharStyle7"/>
    <w:rPr>
      <w:lang w:val="ru-RU" w:eastAsia="ru-RU" w:bidi="ru-RU"/>
      <w:u w:val="single"/>
      <w:sz w:val="24"/>
      <w:szCs w:val="24"/>
      <w:w w:val="100"/>
      <w:color w:val="000000"/>
      <w:position w:val="0"/>
    </w:rPr>
  </w:style>
  <w:style w:type="character" w:customStyle="1" w:styleId="CharStyle9">
    <w:name w:val="Основной текст (6) + Не курсив,Интервал 0 pt Exact"/>
    <w:basedOn w:val="CharStyle7"/>
    <w:rPr>
      <w:lang w:val="ru-RU" w:eastAsia="ru-RU" w:bidi="ru-RU"/>
      <w:i/>
      <w:iCs/>
      <w:sz w:val="24"/>
      <w:szCs w:val="24"/>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1"/>
      <w:szCs w:val="21"/>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5">
    <w:name w:val="Основной текст (4)_"/>
    <w:basedOn w:val="DefaultParagraphFont"/>
    <w:link w:val="Style14"/>
    <w:rPr>
      <w:b w:val="0"/>
      <w:bCs w:val="0"/>
      <w:i w:val="0"/>
      <w:iCs w:val="0"/>
      <w:u w:val="none"/>
      <w:strike w:val="0"/>
      <w:smallCaps w:val="0"/>
      <w:sz w:val="16"/>
      <w:szCs w:val="16"/>
      <w:rFonts w:ascii="Times New Roman" w:eastAsia="Times New Roman" w:hAnsi="Times New Roman" w:cs="Times New Roman"/>
    </w:rPr>
  </w:style>
  <w:style w:type="character" w:customStyle="1" w:styleId="CharStyle17">
    <w:name w:val="Заголовок №1_"/>
    <w:basedOn w:val="DefaultParagraphFont"/>
    <w:link w:val="Style16"/>
    <w:rPr>
      <w:lang w:val="en-US" w:eastAsia="en-US" w:bidi="en-US"/>
      <w:b w:val="0"/>
      <w:bCs w:val="0"/>
      <w:i/>
      <w:iCs/>
      <w:u w:val="none"/>
      <w:strike w:val="0"/>
      <w:smallCaps w:val="0"/>
      <w:sz w:val="38"/>
      <w:szCs w:val="38"/>
      <w:rFonts w:ascii="Times New Roman" w:eastAsia="Times New Roman" w:hAnsi="Times New Roman" w:cs="Times New Roman"/>
      <w:spacing w:val="-30"/>
    </w:rPr>
  </w:style>
  <w:style w:type="character" w:customStyle="1" w:styleId="CharStyle18">
    <w:name w:val="Заголовок №1"/>
    <w:basedOn w:val="CharStyle17"/>
    <w:rPr>
      <w:u w:val="single"/>
      <w:w w:val="10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7) Exact"/>
    <w:basedOn w:val="DefaultParagraphFont"/>
    <w:rPr>
      <w:b w:val="0"/>
      <w:bCs w:val="0"/>
      <w:i w:val="0"/>
      <w:iCs w:val="0"/>
      <w:u w:val="none"/>
      <w:strike w:val="0"/>
      <w:smallCaps w:val="0"/>
      <w:sz w:val="20"/>
      <w:szCs w:val="20"/>
      <w:rFonts w:ascii="Candara" w:eastAsia="Candara" w:hAnsi="Candara" w:cs="Candara"/>
      <w:spacing w:val="-3"/>
    </w:rPr>
  </w:style>
  <w:style w:type="character" w:customStyle="1" w:styleId="CharStyle23">
    <w:name w:val="Основной текст (7)_"/>
    <w:basedOn w:val="DefaultParagraphFont"/>
    <w:link w:val="Style21"/>
    <w:rPr>
      <w:b w:val="0"/>
      <w:bCs w:val="0"/>
      <w:i w:val="0"/>
      <w:iCs w:val="0"/>
      <w:u w:val="none"/>
      <w:strike w:val="0"/>
      <w:smallCaps w:val="0"/>
      <w:sz w:val="21"/>
      <w:szCs w:val="21"/>
      <w:rFonts w:ascii="Candara" w:eastAsia="Candara" w:hAnsi="Candara" w:cs="Candara"/>
    </w:rPr>
  </w:style>
  <w:style w:type="character" w:customStyle="1" w:styleId="CharStyle25">
    <w:name w:val="Подпись к таблице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6">
    <w:name w:val="Подпись к таблице"/>
    <w:basedOn w:val="CharStyle25"/>
    <w:rPr>
      <w:lang w:val="ru-RU" w:eastAsia="ru-RU" w:bidi="ru-RU"/>
      <w:u w:val="single"/>
      <w:w w:val="100"/>
      <w:spacing w:val="0"/>
      <w:color w:val="000000"/>
      <w:position w:val="0"/>
    </w:rPr>
  </w:style>
  <w:style w:type="character" w:customStyle="1" w:styleId="CharStyle27">
    <w:name w:val="Основной текст + 8 pt,Полужирный,Курсив"/>
    <w:basedOn w:val="CharStyle20"/>
    <w:rPr>
      <w:lang w:val="ru-RU" w:eastAsia="ru-RU" w:bidi="ru-RU"/>
      <w:b/>
      <w:bCs/>
      <w:i/>
      <w:iCs/>
      <w:sz w:val="16"/>
      <w:szCs w:val="16"/>
      <w:w w:val="100"/>
      <w:spacing w:val="0"/>
      <w:color w:val="000000"/>
      <w:position w:val="0"/>
    </w:rPr>
  </w:style>
  <w:style w:type="character" w:customStyle="1" w:styleId="CharStyle28">
    <w:name w:val="Основной текст + 8 pt"/>
    <w:basedOn w:val="CharStyle20"/>
    <w:rPr>
      <w:lang w:val="ru-RU" w:eastAsia="ru-RU" w:bidi="ru-RU"/>
      <w:sz w:val="16"/>
      <w:szCs w:val="16"/>
      <w:w w:val="100"/>
      <w:spacing w:val="0"/>
      <w:color w:val="000000"/>
      <w:position w:val="0"/>
    </w:rPr>
  </w:style>
  <w:style w:type="character" w:customStyle="1" w:styleId="CharStyle29">
    <w:name w:val="Основной текст + Интервал 1 pt"/>
    <w:basedOn w:val="CharStyle20"/>
    <w:rPr>
      <w:lang w:val="ru-RU" w:eastAsia="ru-RU" w:bidi="ru-RU"/>
      <w:w w:val="100"/>
      <w:spacing w:val="3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b w:val="0"/>
      <w:bCs w:val="0"/>
      <w:i/>
      <w:iCs/>
      <w:u w:val="none"/>
      <w:strike w:val="0"/>
      <w:smallCaps w:val="0"/>
      <w:sz w:val="8"/>
      <w:szCs w:val="8"/>
      <w:rFonts w:ascii="Times New Roman" w:eastAsia="Times New Roman" w:hAnsi="Times New Roman" w:cs="Times New Roman"/>
    </w:rPr>
  </w:style>
  <w:style w:type="paragraph" w:customStyle="1" w:styleId="Style6">
    <w:name w:val="Основной текст (6)"/>
    <w:basedOn w:val="Normal"/>
    <w:link w:val="CharStyle7"/>
    <w:pPr>
      <w:widowControl w:val="0"/>
      <w:shd w:val="clear" w:color="auto" w:fill="FFFFFF"/>
      <w:spacing w:line="0" w:lineRule="exact"/>
    </w:pPr>
    <w:rPr>
      <w:b w:val="0"/>
      <w:bCs w:val="0"/>
      <w:i/>
      <w:iCs/>
      <w:u w:val="none"/>
      <w:strike w:val="0"/>
      <w:smallCaps w:val="0"/>
      <w:rFonts w:ascii="Candara" w:eastAsia="Candara" w:hAnsi="Candara" w:cs="Candara"/>
      <w:spacing w:val="2"/>
    </w:rPr>
  </w:style>
  <w:style w:type="paragraph" w:customStyle="1" w:styleId="Style10">
    <w:name w:val="Основной текст (2)"/>
    <w:basedOn w:val="Normal"/>
    <w:link w:val="CharStyle11"/>
    <w:pPr>
      <w:widowControl w:val="0"/>
      <w:shd w:val="clear" w:color="auto" w:fill="FFFFFF"/>
      <w:jc w:val="center"/>
      <w:spacing w:before="360" w:after="60" w:line="3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60" w:after="60" w:line="293" w:lineRule="exact"/>
    </w:pPr>
    <w:rPr>
      <w:b/>
      <w:bCs/>
      <w:i w:val="0"/>
      <w:iCs w:val="0"/>
      <w:u w:val="none"/>
      <w:strike w:val="0"/>
      <w:smallCaps w:val="0"/>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60" w:after="180" w:line="206" w:lineRule="exact"/>
      <w:ind w:firstLine="1040"/>
    </w:pPr>
    <w:rPr>
      <w:b w:val="0"/>
      <w:bCs w:val="0"/>
      <w:i w:val="0"/>
      <w:iCs w:val="0"/>
      <w:u w:val="none"/>
      <w:strike w:val="0"/>
      <w:smallCaps w:val="0"/>
      <w:sz w:val="16"/>
      <w:szCs w:val="16"/>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before="180" w:line="0" w:lineRule="exact"/>
    </w:pPr>
    <w:rPr>
      <w:lang w:val="en-US" w:eastAsia="en-US" w:bidi="en-US"/>
      <w:b w:val="0"/>
      <w:bCs w:val="0"/>
      <w:i/>
      <w:iCs/>
      <w:u w:val="none"/>
      <w:strike w:val="0"/>
      <w:smallCaps w:val="0"/>
      <w:sz w:val="38"/>
      <w:szCs w:val="38"/>
      <w:rFonts w:ascii="Times New Roman" w:eastAsia="Times New Roman" w:hAnsi="Times New Roman" w:cs="Times New Roman"/>
      <w:spacing w:val="-30"/>
    </w:rPr>
  </w:style>
  <w:style w:type="paragraph" w:customStyle="1" w:styleId="Style19">
    <w:name w:val="Основной текст"/>
    <w:basedOn w:val="Normal"/>
    <w:link w:val="CharStyle20"/>
    <w:pPr>
      <w:widowControl w:val="0"/>
      <w:shd w:val="clear" w:color="auto" w:fill="FFFFFF"/>
      <w:spacing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7)"/>
    <w:basedOn w:val="Normal"/>
    <w:link w:val="CharStyle23"/>
    <w:pPr>
      <w:widowControl w:val="0"/>
      <w:shd w:val="clear" w:color="auto" w:fill="FFFFFF"/>
      <w:jc w:val="both"/>
      <w:spacing w:after="240" w:line="0" w:lineRule="exact"/>
    </w:pPr>
    <w:rPr>
      <w:b w:val="0"/>
      <w:bCs w:val="0"/>
      <w:i w:val="0"/>
      <w:iCs w:val="0"/>
      <w:u w:val="none"/>
      <w:strike w:val="0"/>
      <w:smallCaps w:val="0"/>
      <w:sz w:val="21"/>
      <w:szCs w:val="21"/>
      <w:rFonts w:ascii="Candara" w:eastAsia="Candara" w:hAnsi="Candara" w:cs="Candara"/>
    </w:rPr>
  </w:style>
  <w:style w:type="paragraph" w:customStyle="1" w:styleId="Style24">
    <w:name w:val="Подпись к таблице"/>
    <w:basedOn w:val="Normal"/>
    <w:link w:val="CharStyle25"/>
    <w:pPr>
      <w:widowControl w:val="0"/>
      <w:shd w:val="clear" w:color="auto" w:fill="FFFFFF"/>
      <w:jc w:val="both"/>
      <w:spacing w:line="274" w:lineRule="exact"/>
      <w:ind w:firstLine="56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