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9"/>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141"/>
        <w:ind w:left="0" w:right="0" w:firstLine="0"/>
      </w:pPr>
      <w:r>
        <w:rPr>
          <w:lang w:val="ru-RU" w:eastAsia="ru-RU" w:bidi="ru-RU"/>
          <w:w w:val="10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225"/>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9"/>
        <w:widowControl w:val="0"/>
        <w:keepNext w:val="0"/>
        <w:keepLines w:val="0"/>
        <w:shd w:val="clear" w:color="auto" w:fill="auto"/>
        <w:bidi w:val="0"/>
        <w:spacing w:before="0" w:after="182" w:line="220" w:lineRule="exact"/>
        <w:ind w:left="0" w:right="0" w:firstLine="0"/>
      </w:pPr>
      <w:r>
        <w:rPr>
          <w:rStyle w:val="CharStyle11"/>
        </w:rPr>
        <w:t>06.08.2020</w:t>
      </w:r>
      <w:r>
        <w:rPr>
          <w:lang w:val="ru-RU" w:eastAsia="ru-RU" w:bidi="ru-RU"/>
          <w:w w:val="100"/>
          <w:spacing w:val="0"/>
          <w:color w:val="000000"/>
          <w:position w:val="0"/>
        </w:rPr>
        <w:t xml:space="preserve"> № </w:t>
      </w:r>
      <w:r>
        <w:rPr>
          <w:rStyle w:val="CharStyle11"/>
        </w:rPr>
        <w:t>3609/03</w:t>
      </w:r>
    </w:p>
    <w:p>
      <w:pPr>
        <w:pStyle w:val="Style3"/>
        <w:tabs>
          <w:tab w:leader="underscore" w:pos="2485" w:val="right"/>
        </w:tabs>
        <w:widowControl w:val="0"/>
        <w:keepNext w:val="0"/>
        <w:keepLines w:val="0"/>
        <w:shd w:val="clear" w:color="auto" w:fill="auto"/>
        <w:bidi w:val="0"/>
        <w:jc w:val="both"/>
        <w:spacing w:before="0" w:after="0" w:line="210" w:lineRule="exact"/>
        <w:ind w:left="440" w:right="0" w:firstLine="0"/>
      </w:pPr>
      <w:r>
        <w:rPr>
          <w:lang w:val="ru-RU" w:eastAsia="ru-RU" w:bidi="ru-RU"/>
          <w:w w:val="100"/>
          <w:color w:val="000000"/>
          <w:position w:val="0"/>
        </w:rPr>
        <w:t xml:space="preserve">На № </w:t>
        <w:tab/>
        <w:t xml:space="preserve"> от</w:t>
      </w:r>
    </w:p>
    <w:p>
      <w:pPr>
        <w:pStyle w:val="Style9"/>
        <w:widowControl w:val="0"/>
        <w:keepNext w:val="0"/>
        <w:keepLines w:val="0"/>
        <w:shd w:val="clear" w:color="auto" w:fill="auto"/>
        <w:bidi w:val="0"/>
        <w:jc w:val="right"/>
        <w:spacing w:before="0" w:after="304" w:line="298" w:lineRule="exact"/>
        <w:ind w:left="0" w:right="20" w:firstLine="0"/>
      </w:pPr>
      <w:r>
        <w:rPr>
          <w:rStyle w:val="CharStyle11"/>
        </w:rPr>
        <w:t>Заявителю</w:t>
      </w:r>
      <w:r>
        <w:rPr>
          <w:lang w:val="ru-RU" w:eastAsia="ru-RU" w:bidi="ru-RU"/>
          <w:w w:val="100"/>
          <w:spacing w:val="0"/>
          <w:color w:val="000000"/>
          <w:position w:val="0"/>
        </w:rPr>
        <w:t xml:space="preserve">: ООО «ГАЛАКТИКА» 127247, г. Москва, шоссе Дмитровское, дом 100, стр. 2, этаж, 05, пом.4517Д-12 </w:t>
      </w:r>
      <w:r>
        <w:rPr>
          <w:lang w:val="en-US" w:eastAsia="en-US" w:bidi="en-US"/>
          <w:w w:val="100"/>
          <w:spacing w:val="0"/>
          <w:color w:val="000000"/>
          <w:position w:val="0"/>
        </w:rPr>
        <w:t xml:space="preserve">E-mail: </w:t>
      </w:r>
      <w:r>
        <w:fldChar w:fldCharType="begin"/>
      </w:r>
      <w:r>
        <w:rPr>
          <w:rStyle w:val="CharStyle11"/>
        </w:rPr>
        <w:instrText> HYPERLINK "mailto:inos.galaktika@mail.ru" </w:instrText>
      </w:r>
      <w:r>
        <w:fldChar w:fldCharType="separate"/>
      </w:r>
      <w:r>
        <w:rPr>
          <w:rStyle w:val="Hyperlink"/>
          <w:lang w:val="en-US" w:eastAsia="en-US" w:bidi="en-US"/>
        </w:rPr>
        <w:t>inos.galaktika@mail.ru</w:t>
      </w:r>
      <w:r>
        <w:fldChar w:fldCharType="end"/>
      </w:r>
    </w:p>
    <w:p>
      <w:pPr>
        <w:pStyle w:val="Style9"/>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З</w:t>
      </w:r>
      <w:r>
        <w:rPr>
          <w:rStyle w:val="CharStyle11"/>
        </w:rPr>
        <w:t>аказчику</w:t>
      </w:r>
      <w:r>
        <w:rPr>
          <w:lang w:val="ru-RU" w:eastAsia="ru-RU" w:bidi="ru-RU"/>
          <w:w w:val="100"/>
          <w:spacing w:val="0"/>
          <w:color w:val="000000"/>
          <w:position w:val="0"/>
        </w:rPr>
        <w:t>:</w:t>
      </w:r>
    </w:p>
    <w:p>
      <w:pPr>
        <w:pStyle w:val="Style9"/>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Федеральному государственному бюджетному образовательному учреждению высшего образования «Орловский государственный университет им. И.С. Тургенева» 302026, г. Орел, ул.Комсомольская,</w:t>
      </w:r>
    </w:p>
    <w:p>
      <w:pPr>
        <w:pStyle w:val="Style9"/>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95</w:t>
      </w:r>
    </w:p>
    <w:p>
      <w:pPr>
        <w:pStyle w:val="Style9"/>
        <w:widowControl w:val="0"/>
        <w:keepNext w:val="0"/>
        <w:keepLines w:val="0"/>
        <w:shd w:val="clear" w:color="auto" w:fill="auto"/>
        <w:bidi w:val="0"/>
        <w:jc w:val="right"/>
        <w:spacing w:before="0" w:after="0" w:line="293" w:lineRule="exact"/>
        <w:ind w:left="0" w:right="20" w:firstLine="0"/>
        <w:sectPr>
          <w:footnotePr>
            <w:pos w:val="pageBottom"/>
            <w:numFmt w:val="decimal"/>
            <w:numRestart w:val="continuous"/>
          </w:footnotePr>
          <w:type w:val="continuous"/>
          <w:pgSz w:w="11906" w:h="16838"/>
          <w:pgMar w:top="819" w:left="1359" w:right="1297" w:bottom="848" w:header="0" w:footer="3" w:gutter="0"/>
          <w:rtlGutter w:val="0"/>
          <w:cols w:num="2" w:space="147"/>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"mailto:safonova@oreluniver.ru" </w:instrText>
      </w:r>
      <w:r>
        <w:fldChar w:fldCharType="separate"/>
      </w:r>
      <w:r>
        <w:rPr>
          <w:rStyle w:val="Hyperlink"/>
          <w:lang w:val="en-US" w:eastAsia="en-US" w:bidi="en-US"/>
        </w:rPr>
        <w:t>safonova@oreluniver.ru</w:t>
      </w:r>
      <w:r>
        <w:fldChar w:fldCharType="end"/>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right"/>
        <w:spacing w:before="0" w:after="598" w:line="302" w:lineRule="exact"/>
        <w:ind w:left="4880" w:right="40" w:firstLine="0"/>
      </w:pPr>
      <w:r>
        <w:rPr>
          <w:rStyle w:val="CharStyle11"/>
        </w:rPr>
        <w:t>Оператору ЭТИ</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rStyle w:val="CharStyle11"/>
        </w:rPr>
        <w:instrText> HYPERLINK "mailto:ko@rts-tender.ru" </w:instrText>
      </w:r>
      <w:r>
        <w:fldChar w:fldCharType="separate"/>
      </w:r>
      <w:r>
        <w:rPr>
          <w:rStyle w:val="Hyperlink"/>
          <w:lang w:val="en-US" w:eastAsia="en-US" w:bidi="en-US"/>
        </w:rPr>
        <w:t>ko@rts-tender.ru</w:t>
      </w:r>
      <w:r>
        <w:fldChar w:fldCharType="end"/>
      </w:r>
    </w:p>
    <w:p>
      <w:pPr>
        <w:pStyle w:val="Style5"/>
        <w:widowControl w:val="0"/>
        <w:keepNext w:val="0"/>
        <w:keepLines w:val="0"/>
        <w:shd w:val="clear" w:color="auto" w:fill="auto"/>
        <w:bidi w:val="0"/>
        <w:jc w:val="right"/>
        <w:spacing w:before="0" w:after="838" w:line="230" w:lineRule="exact"/>
        <w:ind w:left="0" w:right="40" w:firstLine="0"/>
      </w:pPr>
      <w:r>
        <w:rPr>
          <w:lang w:val="ru-RU" w:eastAsia="ru-RU" w:bidi="ru-RU"/>
          <w:w w:val="100"/>
          <w:color w:val="000000"/>
          <w:position w:val="0"/>
        </w:rPr>
        <w:t>(Извещение № 03541000099200000007)</w:t>
      </w:r>
    </w:p>
    <w:p>
      <w:pPr>
        <w:pStyle w:val="Style12"/>
        <w:widowControl w:val="0"/>
        <w:keepNext/>
        <w:keepLines/>
        <w:shd w:val="clear" w:color="auto" w:fill="auto"/>
        <w:bidi w:val="0"/>
        <w:spacing w:before="0" w:after="14" w:line="260" w:lineRule="exact"/>
        <w:ind w:left="20" w:right="0" w:firstLine="0"/>
      </w:pPr>
      <w:bookmarkStart w:id="0" w:name="bookmark0"/>
      <w:r>
        <w:rPr>
          <w:lang w:val="ru-RU" w:eastAsia="ru-RU" w:bidi="ru-RU"/>
          <w:w w:val="100"/>
          <w:color w:val="000000"/>
          <w:position w:val="0"/>
        </w:rPr>
        <w:t>РЕШЕНИЕ</w:t>
      </w:r>
      <w:bookmarkEnd w:id="0"/>
    </w:p>
    <w:p>
      <w:pPr>
        <w:pStyle w:val="Style9"/>
        <w:widowControl w:val="0"/>
        <w:keepNext w:val="0"/>
        <w:keepLines w:val="0"/>
        <w:shd w:val="clear" w:color="auto" w:fill="auto"/>
        <w:bidi w:val="0"/>
        <w:jc w:val="both"/>
        <w:spacing w:before="0" w:after="318" w:line="220" w:lineRule="exact"/>
        <w:ind w:left="20" w:right="0" w:firstLine="680"/>
      </w:pPr>
      <w:r>
        <w:rPr>
          <w:lang w:val="ru-RU" w:eastAsia="ru-RU" w:bidi="ru-RU"/>
          <w:w w:val="100"/>
          <w:spacing w:val="0"/>
          <w:color w:val="000000"/>
          <w:position w:val="0"/>
        </w:rPr>
        <w:t>по делу № 057/06/30-490/2020 о нарушении законодательства о закупках</w:t>
      </w:r>
    </w:p>
    <w:p>
      <w:pPr>
        <w:pStyle w:val="Style9"/>
        <w:tabs>
          <w:tab w:leader="none" w:pos="8698" w:val="right"/>
          <w:tab w:leader="none" w:pos="9327" w:val="right"/>
        </w:tabs>
        <w:widowControl w:val="0"/>
        <w:keepNext w:val="0"/>
        <w:keepLines w:val="0"/>
        <w:shd w:val="clear" w:color="auto" w:fill="auto"/>
        <w:bidi w:val="0"/>
        <w:jc w:val="both"/>
        <w:spacing w:before="0" w:after="264" w:line="220" w:lineRule="exact"/>
        <w:ind w:left="20" w:right="0" w:firstLine="0"/>
      </w:pPr>
      <w:r>
        <w:rPr>
          <w:lang w:val="ru-RU" w:eastAsia="ru-RU" w:bidi="ru-RU"/>
          <w:w w:val="100"/>
          <w:spacing w:val="0"/>
          <w:color w:val="000000"/>
          <w:position w:val="0"/>
        </w:rPr>
        <w:t>05 августа 2020 года</w:t>
        <w:tab/>
        <w:t>г.</w:t>
        <w:tab/>
        <w:t>Орёл</w:t>
      </w:r>
    </w:p>
    <w:p>
      <w:pPr>
        <w:pStyle w:val="Style9"/>
        <w:widowControl w:val="0"/>
        <w:keepNext w:val="0"/>
        <w:keepLines w:val="0"/>
        <w:shd w:val="clear" w:color="auto" w:fill="auto"/>
        <w:bidi w:val="0"/>
        <w:jc w:val="both"/>
        <w:spacing w:before="0" w:after="0" w:line="293" w:lineRule="exact"/>
        <w:ind w:left="20" w:right="40" w:firstLine="68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Кирьянова А.Н., руководителя Управления;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w:t>
      </w:r>
    </w:p>
    <w:p>
      <w:pPr>
        <w:pStyle w:val="Style9"/>
        <w:widowControl w:val="0"/>
        <w:keepNext w:val="0"/>
        <w:keepLines w:val="0"/>
        <w:shd w:val="clear" w:color="auto" w:fill="auto"/>
        <w:bidi w:val="0"/>
        <w:jc w:val="both"/>
        <w:spacing w:before="0" w:after="0" w:line="293" w:lineRule="exact"/>
        <w:ind w:left="20" w:right="40" w:firstLine="680"/>
      </w:pPr>
      <w:r>
        <w:rPr>
          <w:lang w:val="ru-RU" w:eastAsia="ru-RU" w:bidi="ru-RU"/>
          <w:w w:val="100"/>
          <w:spacing w:val="0"/>
          <w:color w:val="000000"/>
          <w:position w:val="0"/>
        </w:rPr>
        <w:t>в присутствии представителей: Федерального государственного бюджетного образовательному учреждению высшего образования «Орловский государственный университет им. И.С. Тургенева» (далее - Заказчик) Артюховой</w:t>
      </w:r>
    </w:p>
    <w:p>
      <w:pPr>
        <w:pStyle w:val="Style9"/>
        <w:tabs>
          <w:tab w:leader="none" w:pos="630" w:val="left"/>
        </w:tabs>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 xml:space="preserve">О.С., Сафоновой </w:t>
      </w:r>
      <w:r>
        <w:rPr>
          <w:lang w:val="en-US" w:eastAsia="en-US" w:bidi="en-US"/>
          <w:w w:val="100"/>
          <w:spacing w:val="0"/>
          <w:color w:val="000000"/>
          <w:position w:val="0"/>
        </w:rPr>
        <w:t>JI.B.,</w:t>
      </w:r>
    </w:p>
    <w:p>
      <w:pPr>
        <w:pStyle w:val="Style9"/>
        <w:widowControl w:val="0"/>
        <w:keepNext w:val="0"/>
        <w:keepLines w:val="0"/>
        <w:shd w:val="clear" w:color="auto" w:fill="auto"/>
        <w:bidi w:val="0"/>
        <w:jc w:val="both"/>
        <w:spacing w:before="0" w:after="0" w:line="293" w:lineRule="exact"/>
        <w:ind w:left="20" w:right="40" w:firstLine="680"/>
      </w:pPr>
      <w:r>
        <w:rPr>
          <w:lang w:val="ru-RU" w:eastAsia="ru-RU" w:bidi="ru-RU"/>
          <w:w w:val="100"/>
          <w:spacing w:val="0"/>
          <w:color w:val="000000"/>
          <w:position w:val="0"/>
        </w:rPr>
        <w:t>в отсутствие представителей ООО «Галактика» (далее - Заявитель) извещенных надлежащим образом,</w:t>
      </w:r>
    </w:p>
    <w:p>
      <w:pPr>
        <w:pStyle w:val="Style9"/>
        <w:widowControl w:val="0"/>
        <w:keepNext w:val="0"/>
        <w:keepLines w:val="0"/>
        <w:shd w:val="clear" w:color="auto" w:fill="auto"/>
        <w:bidi w:val="0"/>
        <w:jc w:val="both"/>
        <w:spacing w:before="0" w:after="0" w:line="293" w:lineRule="exact"/>
        <w:ind w:left="20" w:right="40" w:firstLine="680"/>
      </w:pPr>
      <w:r>
        <w:rPr>
          <w:lang w:val="ru-RU" w:eastAsia="ru-RU" w:bidi="ru-RU"/>
          <w:w w:val="100"/>
          <w:spacing w:val="0"/>
          <w:color w:val="000000"/>
          <w:position w:val="0"/>
        </w:rPr>
        <w:t xml:space="preserve">рассмотрев посредством использования системы видеоконференцсвязи </w:t>
      </w:r>
      <w:r>
        <w:rPr>
          <w:lang w:val="en-US" w:eastAsia="en-US" w:bidi="en-US"/>
          <w:w w:val="100"/>
          <w:spacing w:val="0"/>
          <w:color w:val="000000"/>
          <w:position w:val="0"/>
        </w:rPr>
        <w:t xml:space="preserve">VideoMost </w:t>
      </w:r>
      <w:r>
        <w:rPr>
          <w:lang w:val="ru-RU" w:eastAsia="ru-RU" w:bidi="ru-RU"/>
          <w:w w:val="100"/>
          <w:spacing w:val="0"/>
          <w:color w:val="000000"/>
          <w:position w:val="0"/>
        </w:rPr>
        <w:t>ФАС России жалобу ООО «Галактика» на действия Заказчика по разработке документации об электронном аукционе на капитальный ремонт учебного корпуса ФГБОУ ВО «ОГУ имени И.С. Тургенева» по ул. Октябрьская - 25 в г. Орле, извещение № 0354100009920000007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0" w:line="293" w:lineRule="exact"/>
        <w:ind w:left="3820" w:right="0" w:firstLine="0"/>
      </w:pPr>
      <w:r>
        <w:rPr>
          <w:rStyle w:val="CharStyle14"/>
        </w:rPr>
        <w:t>УСТАНОВИЛА:</w:t>
      </w:r>
    </w:p>
    <w:p>
      <w:pPr>
        <w:pStyle w:val="Style9"/>
        <w:tabs>
          <w:tab w:leader="none" w:pos="1513" w:val="left"/>
          <w:tab w:leader="none" w:pos="2142" w:val="left"/>
        </w:tabs>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В жалобе Заявитель указал, что Заказчик разработал документацию об Аукционе, противоречащую требованиям Закона, а именно: Заказчик допустил нарушение требований Закона, так как проект контракта не содержит положения предусмотренные </w:t>
      </w:r>
      <w:r>
        <w:rPr>
          <w:rStyle w:val="CharStyle11"/>
        </w:rPr>
        <w:t>Постановлением</w:t>
      </w:r>
      <w:r>
        <w:rPr>
          <w:lang w:val="ru-RU" w:eastAsia="ru-RU" w:bidi="ru-RU"/>
          <w:w w:val="100"/>
          <w:spacing w:val="0"/>
          <w:color w:val="000000"/>
          <w:position w:val="0"/>
        </w:rPr>
        <w:t xml:space="preserve"> Правительства Российской Федерации от 23.12.2016</w:t>
        <w:tab/>
        <w:t>№</w:t>
        <w:tab/>
        <w:t>1466 «Об утверждении типовых условий контрактов,</w:t>
      </w:r>
    </w:p>
    <w:p>
      <w:pPr>
        <w:pStyle w:val="Style9"/>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pPr>
        <w:pStyle w:val="Style9"/>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9"/>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- 22.07.2020;</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начальная (максимальная) цена контракта - 23 082 992,40 рублей;</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дата окончания срока рассмотрения заявок на участие в аукционе - 30.07.2020;</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дата проведения Аукциона - 30.07.2020;</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на участие в Аукционе было подано 2 заявки, которые признаны соответствующими и допущены к участию в Аукционе; победитель Аукциона - ООО «АВИЛОН» (предложенная цена —21 467 182,82 рублей).</w:t>
      </w:r>
    </w:p>
    <w:p>
      <w:pPr>
        <w:pStyle w:val="Style9"/>
        <w:numPr>
          <w:ilvl w:val="0"/>
          <w:numId w:val="1"/>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По доводу, изложенному в жалобе:</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Согласно </w:t>
      </w:r>
      <w:r>
        <w:rPr>
          <w:rStyle w:val="CharStyle11"/>
        </w:rPr>
        <w:t>части 4 статьи 64</w:t>
      </w:r>
      <w:r>
        <w:rPr>
          <w:lang w:val="ru-RU" w:eastAsia="ru-RU" w:bidi="ru-RU"/>
          <w:w w:val="100"/>
          <w:spacing w:val="0"/>
          <w:color w:val="000000"/>
          <w:position w:val="0"/>
        </w:rPr>
        <w:t xml:space="preserve"> Закона к документации об электронном аукционе прилагается проект контракта, который является неотъемлемой частью этой документации.</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В соответствии с </w:t>
      </w:r>
      <w:r>
        <w:rPr>
          <w:rStyle w:val="CharStyle11"/>
        </w:rPr>
        <w:t>частью 1 статьи 34</w:t>
      </w:r>
      <w:r>
        <w:rPr>
          <w:lang w:val="ru-RU" w:eastAsia="ru-RU" w:bidi="ru-RU"/>
          <w:w w:val="100"/>
          <w:spacing w:val="0"/>
          <w:color w:val="000000"/>
          <w:position w:val="0"/>
        </w:rPr>
        <w:t xml:space="preserve">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w:t>
      </w:r>
      <w:r>
        <w:rPr>
          <w:rStyle w:val="CharStyle11"/>
        </w:rPr>
        <w:t>законом</w:t>
      </w:r>
      <w:r>
        <w:rPr>
          <w:lang w:val="ru-RU" w:eastAsia="ru-RU" w:bidi="ru-RU"/>
          <w:w w:val="100"/>
          <w:spacing w:val="0"/>
          <w:color w:val="000000"/>
          <w:position w:val="0"/>
        </w:rPr>
        <w:t xml:space="preserve">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соответствии с </w:t>
      </w:r>
      <w:r>
        <w:rPr>
          <w:rStyle w:val="CharStyle11"/>
        </w:rPr>
        <w:t>частью 11 статьи 34</w:t>
      </w:r>
      <w:r>
        <w:rPr>
          <w:lang w:val="ru-RU" w:eastAsia="ru-RU" w:bidi="ru-RU"/>
          <w:w w:val="100"/>
          <w:spacing w:val="0"/>
          <w:color w:val="000000"/>
          <w:position w:val="0"/>
        </w:rPr>
        <w:t xml:space="preserve"> Закона для осуществления заказчиками закупок федеральные органы исполнительной власти, Г 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но регулированию контрактной системы в сфере закупок. </w:t>
      </w:r>
      <w:r>
        <w:rPr>
          <w:rStyle w:val="CharStyle11"/>
        </w:rPr>
        <w:t>Порядок</w:t>
      </w:r>
      <w:r>
        <w:rPr>
          <w:lang w:val="ru-RU" w:eastAsia="ru-RU" w:bidi="ru-RU"/>
          <w:w w:val="100"/>
          <w:spacing w:val="0"/>
          <w:color w:val="000000"/>
          <w:position w:val="0"/>
        </w:rPr>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соответствии с </w:t>
      </w:r>
      <w:r>
        <w:rPr>
          <w:rStyle w:val="CharStyle11"/>
        </w:rPr>
        <w:t>частью 5 статьи 30</w:t>
      </w:r>
      <w:r>
        <w:rPr>
          <w:lang w:val="ru-RU" w:eastAsia="ru-RU" w:bidi="ru-RU"/>
          <w:w w:val="100"/>
          <w:spacing w:val="0"/>
          <w:color w:val="000000"/>
          <w:position w:val="0"/>
        </w:rPr>
        <w:t xml:space="preserve"> Закона заказчик при определении поставщика (подрядчика, исполнителя) </w:t>
      </w:r>
      <w:r>
        <w:rPr>
          <w:rStyle w:val="CharStyle11"/>
        </w:rPr>
        <w:t>вправе</w:t>
      </w:r>
      <w:r>
        <w:rPr>
          <w:lang w:val="ru-RU" w:eastAsia="ru-RU" w:bidi="ru-RU"/>
          <w:w w:val="100"/>
          <w:spacing w:val="0"/>
          <w:color w:val="000000"/>
          <w:position w:val="0"/>
        </w:rPr>
        <w:t xml:space="preserve">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9"/>
        <w:tabs>
          <w:tab w:leader="none" w:pos="2057" w:val="left"/>
          <w:tab w:leader="none" w:pos="2769" w:val="center"/>
          <w:tab w:leader="none" w:pos="4449" w:val="right"/>
          <w:tab w:leader="none" w:pos="4600" w:val="left"/>
          <w:tab w:leader="none" w:pos="5483" w:val="left"/>
          <w:tab w:leader="none" w:pos="9370" w:val="right"/>
        </w:tabs>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соответствии с </w:t>
      </w:r>
      <w:r>
        <w:rPr>
          <w:rStyle w:val="CharStyle11"/>
        </w:rPr>
        <w:t>частью 6 статьи 30</w:t>
      </w:r>
      <w:r>
        <w:rPr>
          <w:lang w:val="ru-RU" w:eastAsia="ru-RU" w:bidi="ru-RU"/>
          <w:w w:val="100"/>
          <w:spacing w:val="0"/>
          <w:color w:val="000000"/>
          <w:position w:val="0"/>
        </w:rPr>
        <w:t xml:space="preserve"> Закона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r>
        <w:rPr>
          <w:rStyle w:val="CharStyle11"/>
        </w:rPr>
        <w:t>частью 5 настоящей статьи</w:t>
      </w:r>
      <w:r>
        <w:rPr>
          <w:lang w:val="ru-RU" w:eastAsia="ru-RU" w:bidi="ru-RU"/>
          <w:w w:val="100"/>
          <w:spacing w:val="0"/>
          <w:color w:val="000000"/>
          <w:position w:val="0"/>
        </w:rPr>
        <w:t xml:space="preserve">,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r>
        <w:rPr>
          <w:rStyle w:val="CharStyle11"/>
        </w:rPr>
        <w:t>частью 1</w:t>
      </w:r>
      <w:r>
        <w:rPr>
          <w:lang w:val="ru-RU" w:eastAsia="ru-RU" w:bidi="ru-RU"/>
          <w:w w:val="100"/>
          <w:spacing w:val="0"/>
          <w:color w:val="000000"/>
          <w:position w:val="0"/>
        </w:rPr>
        <w:t xml:space="preserve"> </w:t>
      </w:r>
      <w:r>
        <w:rPr>
          <w:rStyle w:val="CharStyle11"/>
        </w:rPr>
        <w:t>настоящей статьи</w:t>
      </w:r>
      <w:r>
        <w:rPr>
          <w:lang w:val="ru-RU" w:eastAsia="ru-RU" w:bidi="ru-RU"/>
          <w:w w:val="100"/>
          <w:spacing w:val="0"/>
          <w:color w:val="000000"/>
          <w:position w:val="0"/>
        </w:rPr>
        <w:t xml:space="preserve">, и включается в отчет, указанный в </w:t>
      </w:r>
      <w:r>
        <w:rPr>
          <w:rStyle w:val="CharStyle11"/>
        </w:rPr>
        <w:t>части 4 настоящей статьи</w:t>
      </w:r>
      <w:r>
        <w:rPr>
          <w:lang w:val="ru-RU" w:eastAsia="ru-RU" w:bidi="ru-RU"/>
          <w:w w:val="100"/>
          <w:spacing w:val="0"/>
          <w:color w:val="000000"/>
          <w:position w:val="0"/>
        </w:rPr>
        <w:t>. В контракты также должно быть включено обязательное условие о гражданско- 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w:t>
        <w:tab/>
        <w:t>из</w:t>
        <w:tab/>
        <w:t>числа</w:t>
        <w:tab/>
        <w:t>субъектов</w:t>
        <w:tab/>
        <w:t>малого</w:t>
        <w:tab/>
        <w:t>предпринимательства,</w:t>
        <w:tab/>
        <w:t>социально</w:t>
      </w:r>
    </w:p>
    <w:p>
      <w:pPr>
        <w:pStyle w:val="Style9"/>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ориентированных некоммерческих организаций.</w:t>
      </w:r>
    </w:p>
    <w:p>
      <w:pPr>
        <w:pStyle w:val="Style9"/>
        <w:tabs>
          <w:tab w:leader="none" w:pos="2057" w:val="left"/>
          <w:tab w:leader="none" w:pos="2769" w:val="center"/>
          <w:tab w:leader="none" w:pos="4449" w:val="right"/>
          <w:tab w:leader="none" w:pos="4595" w:val="left"/>
          <w:tab w:leader="none" w:pos="5483" w:val="left"/>
          <w:tab w:leader="none" w:pos="9370" w:val="right"/>
        </w:tabs>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соответствии с </w:t>
      </w:r>
      <w:r>
        <w:rPr>
          <w:rStyle w:val="CharStyle11"/>
        </w:rPr>
        <w:t>частью 7 статьи 30</w:t>
      </w:r>
      <w:r>
        <w:rPr>
          <w:lang w:val="ru-RU" w:eastAsia="ru-RU" w:bidi="ru-RU"/>
          <w:w w:val="100"/>
          <w:spacing w:val="0"/>
          <w:color w:val="000000"/>
          <w:position w:val="0"/>
        </w:rPr>
        <w:t xml:space="preserve"> Закона типовые условия контрактов, предусматривающих привлечение к исполнению контрактов субподрядчиков, соисполнителей</w:t>
        <w:tab/>
        <w:t>из</w:t>
        <w:tab/>
        <w:t>числа</w:t>
        <w:tab/>
        <w:t>субъектов</w:t>
        <w:tab/>
        <w:t>малого</w:t>
        <w:tab/>
        <w:t>предпринимательства,</w:t>
        <w:tab/>
        <w:t>социально</w:t>
      </w:r>
    </w:p>
    <w:p>
      <w:pPr>
        <w:pStyle w:val="Style9"/>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ориентированных некоммерческих организаций могут устанавливаться Правительством Российской Федерации.</w:t>
      </w:r>
    </w:p>
    <w:p>
      <w:pPr>
        <w:pStyle w:val="Style9"/>
        <w:tabs>
          <w:tab w:leader="none" w:pos="3379" w:val="left"/>
        </w:tabs>
        <w:widowControl w:val="0"/>
        <w:keepNext w:val="0"/>
        <w:keepLines w:val="0"/>
        <w:shd w:val="clear" w:color="auto" w:fill="auto"/>
        <w:bidi w:val="0"/>
        <w:jc w:val="both"/>
        <w:spacing w:before="0" w:after="0" w:line="293" w:lineRule="exact"/>
        <w:ind w:left="20" w:right="0" w:firstLine="700"/>
      </w:pPr>
      <w:r>
        <w:rPr>
          <w:rStyle w:val="CharStyle11"/>
        </w:rPr>
        <w:t>Постановлением</w:t>
      </w:r>
      <w:r>
        <w:rPr>
          <w:lang w:val="ru-RU" w:eastAsia="ru-RU" w:bidi="ru-RU"/>
          <w:w w:val="100"/>
          <w:spacing w:val="0"/>
          <w:color w:val="000000"/>
          <w:position w:val="0"/>
        </w:rPr>
        <w:t xml:space="preserve"> №</w:t>
        <w:tab/>
        <w:t>1466 утверждены типовые условия контрактов,</w:t>
      </w:r>
    </w:p>
    <w:p>
      <w:pPr>
        <w:pStyle w:val="Style9"/>
        <w:tabs>
          <w:tab w:leader="none" w:pos="2057" w:val="left"/>
          <w:tab w:leader="none" w:pos="2769" w:val="center"/>
          <w:tab w:leader="none" w:pos="4586" w:val="left"/>
          <w:tab w:leader="none" w:pos="4503" w:val="left"/>
          <w:tab w:leader="none" w:pos="5481" w:val="left"/>
          <w:tab w:leader="none" w:pos="9370" w:val="right"/>
        </w:tabs>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предусматривающих привлечение к исполнению контрактов субподрядчиков, соисполнителей</w:t>
        <w:tab/>
        <w:t>из</w:t>
        <w:tab/>
        <w:t>числа</w:t>
        <w:tab/>
        <w:t>субъектов</w:t>
        <w:tab/>
        <w:t>малого</w:t>
        <w:tab/>
        <w:t>предпринимательства,</w:t>
        <w:tab/>
        <w:t>социально</w:t>
      </w:r>
    </w:p>
    <w:p>
      <w:pPr>
        <w:pStyle w:val="Style9"/>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ориентированных некоммерческих организаций.</w:t>
      </w:r>
    </w:p>
    <w:p>
      <w:pPr>
        <w:pStyle w:val="Style9"/>
        <w:tabs>
          <w:tab w:leader="none" w:pos="2057" w:val="left"/>
          <w:tab w:leader="none" w:pos="4510" w:val="left"/>
        </w:tabs>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В части</w:t>
        <w:tab/>
        <w:t>1 Типовых условий</w:t>
        <w:tab/>
        <w:t>установлено: «Привлечь к исполнению</w:t>
      </w:r>
    </w:p>
    <w:p>
      <w:pPr>
        <w:pStyle w:val="Style9"/>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9"/>
        <w:tabs>
          <w:tab w:leader="underscore" w:pos="7801" w:val="center"/>
          <w:tab w:leader="none" w:pos="8538"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(далее - субподрядчики, соисполнители) в объеме</w:t>
        <w:tab/>
        <w:t>процентов</w:t>
        <w:tab/>
        <w:t>от цены</w:t>
      </w: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контракта (объем привлечения устанавливается заказчиком в виде фиксированных процентов и должен составлять не менее 5 процентов от цены контракта)».</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аукционной документации размещенной Заказчиком в ЕИС 22.07.2020 Заказчиком не установлены ограничения в отношении субъектов малого предпринимательства и социально ориентированных некоммерческих организаций.</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 xml:space="preserve">Комиссией установлено, Заказчик при определении Исполнителя своим правом установить в извещении о проведении Аукциона требование к поставщику, не являющемуся СМИ или СОНО, о привлечении к исполнению контракта субподрядчиков, соисполнителей из числа СМИ, СОНО не воспользовался, таким образом, </w:t>
      </w:r>
      <w:r>
        <w:rPr>
          <w:rStyle w:val="CharStyle11"/>
        </w:rPr>
        <w:t>Постановление</w:t>
      </w:r>
      <w:r>
        <w:rPr>
          <w:lang w:val="ru-RU" w:eastAsia="ru-RU" w:bidi="ru-RU"/>
          <w:w w:val="100"/>
          <w:spacing w:val="0"/>
          <w:color w:val="000000"/>
          <w:position w:val="0"/>
        </w:rPr>
        <w:t xml:space="preserve"> № 1466 на данную закупку не распространяется и Типовые условия контрактов, предусматривающие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Проекте контракта не прописываются.</w:t>
      </w:r>
    </w:p>
    <w:p>
      <w:pPr>
        <w:pStyle w:val="Style9"/>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Следовательно, довод Заявителя не находит своего подтверждения.</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На основании вышеизложенного, исходя из представленных доказательств, руководствуясь частью 8 статьи 106 Закона, пунктом 3.38 Административного регламента, Комиссия</w:t>
      </w:r>
    </w:p>
    <w:p>
      <w:pPr>
        <w:pStyle w:val="Style15"/>
        <w:widowControl w:val="0"/>
        <w:keepNext w:val="0"/>
        <w:keepLines w:val="0"/>
        <w:shd w:val="clear" w:color="auto" w:fill="auto"/>
        <w:bidi w:val="0"/>
        <w:jc w:val="left"/>
        <w:spacing w:before="0" w:after="0"/>
        <w:ind w:left="4220" w:right="0" w:firstLine="0"/>
      </w:pPr>
      <w:r>
        <w:rPr>
          <w:lang w:val="ru-RU" w:eastAsia="ru-RU" w:bidi="ru-RU"/>
          <w:w w:val="100"/>
          <w:color w:val="000000"/>
          <w:position w:val="0"/>
        </w:rPr>
        <w:t>РЕШИЛА:</w:t>
      </w:r>
    </w:p>
    <w:p>
      <w:pPr>
        <w:pStyle w:val="Style9"/>
        <w:numPr>
          <w:ilvl w:val="0"/>
          <w:numId w:val="5"/>
        </w:numPr>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 xml:space="preserve"> Жалобу ООО «Галактика» признать необоснованной.</w:t>
      </w:r>
    </w:p>
    <w:p>
      <w:pPr>
        <w:pStyle w:val="Style9"/>
        <w:numPr>
          <w:ilvl w:val="0"/>
          <w:numId w:val="5"/>
        </w:numPr>
        <w:widowControl w:val="0"/>
        <w:keepNext w:val="0"/>
        <w:keepLines w:val="0"/>
        <w:shd w:val="clear" w:color="auto" w:fill="auto"/>
        <w:bidi w:val="0"/>
        <w:jc w:val="both"/>
        <w:spacing w:before="0" w:after="302" w:line="298" w:lineRule="exact"/>
        <w:ind w:left="20" w:right="0" w:firstLine="70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9"/>
        <w:tabs>
          <w:tab w:leader="none" w:pos="3922" w:val="right"/>
          <w:tab w:leader="none" w:pos="6217" w:val="center"/>
          <w:tab w:leader="none" w:pos="8821" w:val="right"/>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Председатель Комиссии:</w:t>
        <w:tab/>
      </w:r>
      <w:r>
        <w:rPr>
          <w:rStyle w:val="CharStyle17"/>
        </w:rPr>
        <w:t>//</w:t>
      </w:r>
      <w:r>
        <w:rPr>
          <w:rStyle w:val="CharStyle18"/>
        </w:rPr>
        <w:tab/>
        <w:t xml:space="preserve"> </w:t>
      </w:r>
      <w:r>
        <w:rPr>
          <w:rStyle w:val="CharStyle17"/>
        </w:rPr>
        <w:t>*</w:t>
      </w:r>
      <w:r>
        <w:rPr>
          <w:rStyle w:val="CharStyle18"/>
        </w:rPr>
        <w:tab/>
      </w:r>
      <w:r>
        <w:rPr>
          <w:lang w:val="ru-RU" w:eastAsia="ru-RU" w:bidi="ru-RU"/>
          <w:w w:val="100"/>
          <w:spacing w:val="0"/>
          <w:color w:val="000000"/>
          <w:position w:val="0"/>
        </w:rPr>
        <w:t>А.Н. Кирьянов</w:t>
      </w:r>
    </w:p>
    <w:p>
      <w:pPr>
        <w:pStyle w:val="Style9"/>
        <w:tabs>
          <w:tab w:leader="none" w:pos="5833" w:val="center"/>
          <w:tab w:leader="none" w:pos="8821" w:val="right"/>
        </w:tabs>
        <w:widowControl w:val="0"/>
        <w:keepNext w:val="0"/>
        <w:keepLines w:val="0"/>
        <w:shd w:val="clear" w:color="auto" w:fill="auto"/>
        <w:bidi w:val="0"/>
        <w:jc w:val="both"/>
        <w:spacing w:before="0" w:after="130" w:line="220" w:lineRule="exact"/>
        <w:ind w:left="20" w:right="0" w:firstLine="0"/>
      </w:pPr>
      <w:r>
        <w:rPr>
          <w:lang w:val="ru-RU" w:eastAsia="ru-RU" w:bidi="ru-RU"/>
          <w:w w:val="100"/>
          <w:spacing w:val="0"/>
          <w:color w:val="000000"/>
          <w:position w:val="0"/>
        </w:rPr>
        <w:t>Члены Комиссии:</w:t>
        <w:tab/>
      </w:r>
      <w:r>
        <w:rPr>
          <w:rStyle w:val="CharStyle17"/>
        </w:rPr>
        <w:t>X?</w:t>
      </w:r>
      <w:r>
        <w:rPr>
          <w:rStyle w:val="CharStyle18"/>
        </w:rPr>
        <w:tab/>
      </w:r>
      <w:r>
        <w:rPr>
          <w:lang w:val="ru-RU" w:eastAsia="ru-RU" w:bidi="ru-RU"/>
          <w:w w:val="100"/>
          <w:spacing w:val="0"/>
          <w:color w:val="000000"/>
          <w:position w:val="0"/>
        </w:rPr>
        <w:t>О.А. Торшина</w:t>
      </w:r>
    </w:p>
    <w:p>
      <w:pPr>
        <w:pStyle w:val="Style9"/>
        <w:widowControl w:val="0"/>
        <w:keepNext w:val="0"/>
        <w:keepLines w:val="0"/>
        <w:shd w:val="clear" w:color="auto" w:fill="auto"/>
        <w:bidi w:val="0"/>
        <w:jc w:val="both"/>
        <w:spacing w:before="0" w:after="1029" w:line="293" w:lineRule="exact"/>
        <w:ind w:left="20" w:right="2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19"/>
        <w:widowControl w:val="0"/>
        <w:keepNext w:val="0"/>
        <w:keepLines w:val="0"/>
        <w:shd w:val="clear" w:color="auto" w:fill="auto"/>
        <w:bidi w:val="0"/>
        <w:jc w:val="left"/>
        <w:spacing w:before="0" w:after="0"/>
        <w:ind w:left="20" w:right="6600" w:firstLine="0"/>
      </w:pPr>
      <w:r>
        <w:rPr>
          <w:lang w:val="ru-RU" w:eastAsia="ru-RU" w:bidi="ru-RU"/>
          <w:w w:val="100"/>
          <w:spacing w:val="0"/>
          <w:color w:val="000000"/>
          <w:position w:val="0"/>
        </w:rPr>
        <w:t>Исп. 'Гормина Ольга Александровна тел. (4862)73-16-32</w:t>
      </w:r>
    </w:p>
    <w:sectPr>
      <w:type w:val="continuous"/>
      <w:pgSz w:w="11906" w:h="16838"/>
      <w:pgMar w:top="1309" w:left="1264" w:right="1250" w:bottom="10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14">
    <w:name w:val="Основной текст + Интервал 3 pt"/>
    <w:basedOn w:val="CharStyle10"/>
    <w:rPr>
      <w:lang w:val="ru-RU" w:eastAsia="ru-RU" w:bidi="ru-RU"/>
      <w:w w:val="100"/>
      <w:spacing w:val="7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17">
    <w:name w:val="Основной текст + Полужирный,Курсив,Интервал 0 pt"/>
    <w:basedOn w:val="CharStyle10"/>
    <w:rPr>
      <w:lang w:val="ru-RU" w:eastAsia="ru-RU" w:bidi="ru-RU"/>
      <w:b/>
      <w:bCs/>
      <w:i/>
      <w:iCs/>
      <w:w w:val="100"/>
      <w:spacing w:val="-10"/>
      <w:color w:val="000000"/>
      <w:position w:val="0"/>
    </w:rPr>
  </w:style>
  <w:style w:type="character" w:customStyle="1" w:styleId="CharStyle18">
    <w:name w:val="Основной текст"/>
    <w:basedOn w:val="CharStyle10"/>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64"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after="60" w:line="302"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before="60" w:after="240" w:line="2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240" w:after="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900" w:after="60" w:line="0"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15">
    <w:name w:val="Основной текст (5)"/>
    <w:basedOn w:val="Normal"/>
    <w:link w:val="CharStyle16"/>
    <w:pPr>
      <w:widowControl w:val="0"/>
      <w:shd w:val="clear" w:color="auto" w:fill="FFFFFF"/>
      <w:spacing w:line="298"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19">
    <w:name w:val="Основной текст (6)"/>
    <w:basedOn w:val="Normal"/>
    <w:link w:val="CharStyle20"/>
    <w:pPr>
      <w:widowControl w:val="0"/>
      <w:shd w:val="clear" w:color="auto" w:fill="FFFFFF"/>
      <w:spacing w:before="960" w:line="206"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