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01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99" w:left="1172" w:right="6529" w:bottom="52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1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7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9"/>
        <w:numPr>
          <w:ilvl w:val="0"/>
          <w:numId w:val="1"/>
        </w:numPr>
        <w:tabs>
          <w:tab w:leader="none" w:pos="1553" w:val="lef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40" w:right="0" w:firstLine="0"/>
      </w:pPr>
      <w:r>
        <w:rPr>
          <w:rStyle w:val="CharStyle11"/>
        </w:rPr>
        <w:t xml:space="preserve">№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04</w:t>
      </w:r>
      <w:r>
        <w:rPr>
          <w:rStyle w:val="CharStyle11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</w:t>
      </w:r>
      <w:r>
        <w:rPr>
          <w:rStyle w:val="CharStyle11"/>
        </w:rPr>
        <w:t xml:space="preserve">- </w:t>
      </w:r>
      <w:r>
        <w:rPr>
          <w:rStyle w:val="CharStyle12"/>
        </w:rPr>
        <w:t>53</w:t>
      </w:r>
      <w:r>
        <w:rPr>
          <w:rStyle w:val="CharStyle13"/>
        </w:rPr>
        <w:t>б/</w:t>
      </w:r>
    </w:p>
    <w:p>
      <w:pPr>
        <w:pStyle w:val="Style14"/>
        <w:tabs>
          <w:tab w:leader="none" w:pos="2485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«СТИГМАТРАНС»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77" w:line="22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Ефремова ул., д. 10 корп.1 эт. 1 ПХХ1 оф.4, г. Москва, 119048 </w:t>
      </w:r>
      <w:r>
        <w:fldChar w:fldCharType="begin"/>
      </w:r>
      <w:r>
        <w:rPr>
          <w:color w:val="000000"/>
        </w:rPr>
        <w:instrText> HYPERLINK "mailto:stigmatrasn@mail.ru"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stigmatrasn@mail.ru</w:t>
      </w:r>
      <w:r>
        <w:fldChar w:fldCharType="end"/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городского поселения «Нерчинское»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499" w:left="1100" w:right="866" w:bottom="528" w:header="0" w:footer="3" w:gutter="0"/>
          <w:rtlGutter w:val="0"/>
          <w:cols w:num="2" w:space="720" w:equalWidth="0">
            <w:col w:w="4360" w:space="760"/>
            <w:col w:w="4820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Первомайская ул., д.61, г. Нерчинск, 673403 </w:t>
      </w:r>
      <w:r>
        <w:fldChar w:fldCharType="begin"/>
      </w:r>
      <w:r>
        <w:rPr>
          <w:color w:val="000000"/>
        </w:rPr>
        <w:instrText> HYPERLINK "mailto:adm_nrch@mail.ru"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adm_nrch@mail.ru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84" w:line="295" w:lineRule="exact"/>
        <w:ind w:left="1560" w:right="1580" w:firstLine="2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рассмотрению жалобы 075/06/64-467/2020 о нарушении законодательства при осуществлении закупки</w:t>
      </w:r>
    </w:p>
    <w:p>
      <w:pPr>
        <w:pStyle w:val="Style18"/>
        <w:tabs>
          <w:tab w:leader="none" w:pos="7283" w:val="right"/>
          <w:tab w:leader="none" w:pos="7426" w:val="left"/>
        </w:tabs>
        <w:widowControl w:val="0"/>
        <w:keepNext w:val="0"/>
        <w:keepLines w:val="0"/>
        <w:shd w:val="clear" w:color="auto" w:fill="auto"/>
        <w:bidi w:val="0"/>
        <w:spacing w:before="0" w:after="2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 августа 2020 года</w:t>
        <w:tab/>
        <w:t>г.</w:t>
        <w:tab/>
        <w:t>Чита, ул. Лермонтова, 14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врио руководителя Забайкальского У ФАС России; членов комиссии: Осиповой А.О. главного специалиста- эксперта отдела контроля закупок Забайкальского УФАС России, Китаевой И. С. главного специалиста-эксперта отдела контроля закупок Забайкальского УФАС России,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поступившую 27.07.2020 жалобу ООО «Стигматранс»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городского поселения «Нерчинское» муниципального района «Нерчинский район» Забайкальского края при проведении электронного аукциона на ремонт фасадов объекта культурного наследия (реестровый №0191300025120000035),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284" w:line="295" w:lineRule="exact"/>
        <w:ind w:left="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присутствии представителя заказчика Иващенко Д.И. (доверенность от 16.12.2019 №18), в отсутствии представителей заявителей (о дате, времени и месте рассмотрения жалоб извещены надлежащим образом),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57" w:line="240" w:lineRule="exact"/>
        <w:ind w:left="1560" w:right="0" w:firstLine="288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8"/>
        <w:numPr>
          <w:ilvl w:val="0"/>
          <w:numId w:val="3"/>
        </w:numPr>
        <w:tabs>
          <w:tab w:leader="none" w:pos="5596" w:val="right"/>
          <w:tab w:leader="none" w:pos="6089" w:val="center"/>
          <w:tab w:leader="none" w:pos="6568" w:val="left"/>
          <w:tab w:leader="none" w:pos="2014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16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Забайкальское УФАС России поступила жалоба от ООО «Стигматранс» на нарушение требований Закона о контрактной системе. Заявитель указывает, что заказчиком в составе документации о закупке требования к составу второй части заявки установлены с нарушением пункта 2 приложения №1 Постановления правительства Российской Федерации от 04.02.2015</w:t>
        <w:tab/>
        <w:t>№99</w:t>
        <w:tab/>
        <w:t>«Об</w:t>
        <w:tab/>
        <w:t>установлении дополнительных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16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</w:t>
        <w:br w:type="page"/>
        <w:t>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- Постановление Правительства РФ №99). По мнению заявителя, заказчик должен установить в документации о закупке требования к опыту выполнения работ по строительству, реконструкции объекта капитального строительства (за исключением линейного объекта) за последние 5 лет до даты подачи заявки на участие в закупке.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просит провести внеплановую проверку осуществления закупки и выдать заказчику предписание об устранении нарушений законодательства о контрактной системе.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rStyle w:val="CharStyle20"/>
        </w:rPr>
        <w:t xml:space="preserve">Представитель заказчика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не согласился с доводами жалобы, указав, что требования к составу второй части заявки устанавливались исходя из объекта закупки - выполнение работ по ремонту фасадов </w:t>
      </w:r>
      <w:r>
        <w:rPr>
          <w:rStyle w:val="CharStyle20"/>
        </w:rPr>
        <w:t xml:space="preserve">объектов культурного наследия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(водонапорная башня с оранжереей, усадьба купца Колобовникова, дом купца Верхотурова 1812-1822 гг, Приходское училище, усадьба Бутина (дворец). Представитель заказчика просит признать жалобу необоснованной.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 №0191300025120000035. В ходе проверки установлено следующее.</w:t>
      </w:r>
    </w:p>
    <w:p>
      <w:pPr>
        <w:pStyle w:val="Style18"/>
        <w:numPr>
          <w:ilvl w:val="0"/>
          <w:numId w:val="5"/>
        </w:numPr>
        <w:tabs>
          <w:tab w:leader="none" w:pos="2090" w:val="left"/>
        </w:tabs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на официальном сайте ЕИС размещены извещение и документация о проведении электронного аукциона на выполнение фасадов объекта культурного наследия (реестровый №0191300025120000035).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Начальная (максимальная) цена контракта составляет 13 599 180,00 рублей.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закупке поступила 1 заявка ООО «ДВМ-ЧИТА», которая аукционной комиссией признана соответствующей требованиям документации о закупке (протокол рассмотрения единственной заявки на участие в электронном аукционе от 28.07.2020).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момент рассмотрения жалобы муниципальный контракт не заключен.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представленные документы, Комиссия приходит к следующим выводам.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3 статьи 64 Закона о контрактной системе документация об электронном аукционе содержит требования к участникам такого аукциона, установленные в соответствии с частью 1, частями 1.1, 2 и 2.1 (при наличии таких требований) статьи 31 Закона.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аукционов, дополнительные требования, в том числе к наличию опыта работы, связанного с предметом контракта.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случае установления Правительством Российской Федерации в соответствии с частями 2 и 2.1 статьи 31 Закона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 (часть 4 статьи 31 Закона о контрактной системе).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Постановлением Правительства РФ №99 установлены дополнительные требования к участникам закупки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в том числе пунктом 1.1. приложения 1 установлено, что при</w:t>
        <w:br w:type="page"/>
        <w:t xml:space="preserve">закупке работ по сохранению объектов культурного наследия (памятников истории и культуры) народов Российской Федерации, при которых не затрагиваются конструктивные и другие характеристики надежности и безопасности объекта культурного наследия в документации устанавливаются требования: </w:t>
      </w:r>
      <w:r>
        <w:rPr>
          <w:rStyle w:val="CharStyle22"/>
        </w:rPr>
        <w:t>«наличие за последние 3 года до даты подачи заявки на участие в закупке опыта исполнения (с учетом правопреемства) одного контракта (договора) на проведение работ по сохранению объектов культурного наследия (памятников истории и культуры) народов Российской Федерации, при которых затрагиваются конструктивные и другие характеристики надежности и безопасности объекта культурного наследия, либо одного контракта (договора), заключенного 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лиц", на проведение работ по сохранению объектов культурного наследия (памятников истории и культуры) народов Российской Федерации, при которых не затрагиваются конструктивные и другие характеристики надежности и безопасности объекта культурного наследия. При этом стоимость такого одного контракта (договора) составляет не менее 20 процентов начальной (максимальной) цены контракта, договора (цены лота), на право заключить который проводится закупка».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Названные требования установлены заказчиком в разделе 29 информационной карты документации о закупке.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требования к составу второй части заявки на участие в аукционе (разделы 24, 29 информационной карты документации о закупке) установлены заказчиком в соответствии с требованиями законодательства о контрактной системе и, вопреки доводам ООО «Стигматранс», не противоречат части 3 статьи 64 Закона о контрактной системе и Постановлению Правительства РФ №99, поскольку объектом закупки являются работы по сохранению объектов культурного наследия, а не работы по строительству, реконструкции объекта капитального строительства (за исключением линейного объекта).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spacing w:before="0" w:after="404" w:line="295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4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553" w:line="240" w:lineRule="exact"/>
        <w:ind w:left="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1. Признать жалобу ООО «Стигматранс» необоснованной.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99" w:lineRule="exact"/>
        <w:ind w:left="20" w:right="20" w:firstLine="860"/>
        <w:sectPr>
          <w:type w:val="continuous"/>
          <w:pgSz w:w="11906" w:h="16838"/>
          <w:pgMar w:top="1196" w:left="843" w:right="842" w:bottom="58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before="75" w:after="7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42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</w:t>
      </w:r>
    </w:p>
    <w:p>
      <w:pPr>
        <w:pStyle w:val="Style18"/>
        <w:framePr w:h="230" w:wrap="around" w:vAnchor="text" w:hAnchor="margin" w:x="8510" w:y="8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А.О. Осипова</w:t>
      </w:r>
    </w:p>
    <w:p>
      <w:pPr>
        <w:pStyle w:val="Style18"/>
        <w:framePr w:h="230" w:wrap="notBeside" w:vAnchor="text" w:hAnchor="margin" w:x="8643" w:y="70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И.С. Китаева</w:t>
      </w:r>
    </w:p>
    <w:p>
      <w:pPr>
        <w:pStyle w:val="Style1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581" w:left="874" w:right="6645" w:bottom="162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06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2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020"/>
      <w:numFmt w:val="decimal"/>
      <w:lvlText w:val="17.07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5) + 7,5 pt"/>
    <w:basedOn w:val="CharStyle10"/>
    <w:rPr>
      <w:lang w:val="ru-RU" w:eastAsia="ru-RU" w:bidi="ru-RU"/>
      <w:sz w:val="15"/>
      <w:szCs w:val="15"/>
      <w:w w:val="100"/>
      <w:spacing w:val="0"/>
      <w:color w:val="000000"/>
      <w:position w:val="0"/>
    </w:rPr>
  </w:style>
  <w:style w:type="character" w:customStyle="1" w:styleId="CharStyle12">
    <w:name w:val="Основной текст (5)"/>
    <w:basedOn w:val="CharStyle10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5) + 13 pt,Курсив,Интервал 0 pt"/>
    <w:basedOn w:val="CharStyle10"/>
    <w:rPr>
      <w:lang w:val="ru-RU" w:eastAsia="ru-RU" w:bidi="ru-RU"/>
      <w:i/>
      <w:iCs/>
      <w:u w:val="single"/>
      <w:sz w:val="26"/>
      <w:szCs w:val="26"/>
      <w:w w:val="100"/>
      <w:spacing w:val="-10"/>
      <w:color w:val="000000"/>
      <w:position w:val="0"/>
    </w:rPr>
  </w:style>
  <w:style w:type="character" w:customStyle="1" w:styleId="CharStyle15">
    <w:name w:val="Основной текст (6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7">
    <w:name w:val="Основной текст (7)_"/>
    <w:basedOn w:val="DefaultParagraphFont"/>
    <w:link w:val="Style1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9">
    <w:name w:val="Основной текст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0">
    <w:name w:val="Основной текст + Полужирный"/>
    <w:basedOn w:val="CharStyle19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1">
    <w:name w:val="Основной текст (8) + Не курсив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(8)"/>
    <w:basedOn w:val="DefaultParagraphFont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line="349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180" w:after="300" w:line="23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both"/>
      <w:spacing w:before="300" w:after="6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4">
    <w:name w:val="Основной текст (6)"/>
    <w:basedOn w:val="Normal"/>
    <w:link w:val="CharStyle15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6">
    <w:name w:val="Основной текст (7)"/>
    <w:basedOn w:val="Normal"/>
    <w:link w:val="CharStyle17"/>
    <w:pPr>
      <w:widowControl w:val="0"/>
      <w:shd w:val="clear" w:color="auto" w:fill="FFFFFF"/>
      <w:jc w:val="center"/>
      <w:spacing w:after="6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