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0"/>
        <w:ind w:left="20" w:right="0" w:firstLine="0"/>
      </w:pPr>
      <w:r>
        <w:rPr>
          <w:lang w:val="ru-RU" w:eastAsia="ru-RU" w:bidi="ru-RU"/>
          <w:w w:val="100"/>
          <w:spacing w:val="0"/>
          <w:color w:val="000000"/>
          <w:position w:val="0"/>
        </w:rPr>
        <w:t>ФЕДЕРАЛЬНАЯ АНТИМОНОПОЛЬНАЯ СЛУЖБА (ФАС России)</w:t>
      </w:r>
    </w:p>
    <w:p>
      <w:pPr>
        <w:pStyle w:val="Style5"/>
        <w:widowControl w:val="0"/>
        <w:keepNext/>
        <w:keepLines/>
        <w:shd w:val="clear" w:color="auto" w:fill="auto"/>
        <w:bidi w:val="0"/>
        <w:spacing w:before="0" w:after="118"/>
        <w:ind w:left="20" w:right="0" w:firstLine="0"/>
      </w:pPr>
      <w:bookmarkStart w:id="0" w:name="bookmark0"/>
      <w:r>
        <w:rPr>
          <w:lang w:val="ru-RU" w:eastAsia="ru-RU" w:bidi="ru-RU"/>
          <w:w w:val="100"/>
          <w:spacing w:val="0"/>
          <w:color w:val="000000"/>
          <w:position w:val="0"/>
        </w:rPr>
        <w:t>УПРАВЛЕНИЕ ПО КАМЧАТСКОМУ КРАЮ</w:t>
      </w:r>
      <w:bookmarkEnd w:id="0"/>
    </w:p>
    <w:p>
      <w:pPr>
        <w:pStyle w:val="Style7"/>
        <w:widowControl w:val="0"/>
        <w:keepNext w:val="0"/>
        <w:keepLines w:val="0"/>
        <w:shd w:val="clear" w:color="auto" w:fill="auto"/>
        <w:bidi w:val="0"/>
        <w:spacing w:before="0" w:after="66"/>
        <w:ind w:left="20" w:right="0" w:firstLine="0"/>
      </w:pPr>
      <w:r>
        <w:rPr>
          <w:lang w:val="ru-RU" w:eastAsia="ru-RU" w:bidi="ru-RU"/>
          <w:w w:val="100"/>
          <w:color w:val="000000"/>
          <w:position w:val="0"/>
        </w:rPr>
        <w:t>Ленинградская ул., д. 90, Петропавловск-Камчатский, 683003</w:t>
      </w:r>
    </w:p>
    <w:p>
      <w:pPr>
        <w:pStyle w:val="Style7"/>
        <w:widowControl w:val="0"/>
        <w:keepNext w:val="0"/>
        <w:keepLines w:val="0"/>
        <w:shd w:val="clear" w:color="auto" w:fill="auto"/>
        <w:bidi w:val="0"/>
        <w:spacing w:before="0" w:after="35" w:line="248" w:lineRule="exact"/>
        <w:ind w:left="20" w:right="0" w:firstLine="0"/>
      </w:pPr>
      <w:r>
        <w:rPr>
          <w:lang w:val="ru-RU" w:eastAsia="ru-RU" w:bidi="ru-RU"/>
          <w:w w:val="100"/>
          <w:color w:val="000000"/>
          <w:position w:val="0"/>
        </w:rPr>
        <w:t xml:space="preserve">Тел./факс (4152)42-58-74 Эл. почта: </w:t>
      </w:r>
      <w:r>
        <w:fldChar w:fldCharType="begin"/>
      </w:r>
      <w:r>
        <w:rPr>
          <w:color w:val="000000"/>
        </w:rPr>
        <w:instrText> HYPERLINK "mailto:to41@fas.gov.ru" </w:instrText>
      </w:r>
      <w:r>
        <w:fldChar w:fldCharType="separate"/>
      </w:r>
      <w:r>
        <w:rPr>
          <w:rStyle w:val="Hyperlink"/>
          <w:lang w:val="en-US" w:eastAsia="en-US" w:bidi="en-US"/>
          <w:w w:val="100"/>
          <w:position w:val="0"/>
        </w:rPr>
        <w:t>to41@fas.gov.ru</w:t>
      </w:r>
      <w:r>
        <w:fldChar w:fldCharType="end"/>
      </w:r>
    </w:p>
    <w:p>
      <w:pPr>
        <w:pStyle w:val="Style9"/>
        <w:widowControl w:val="0"/>
        <w:keepNext/>
        <w:keepLines/>
        <w:shd w:val="clear" w:color="auto" w:fill="auto"/>
        <w:bidi w:val="0"/>
        <w:spacing w:before="0" w:after="14" w:line="280" w:lineRule="exact"/>
        <w:ind w:left="20" w:right="0" w:firstLine="0"/>
      </w:pPr>
      <w:bookmarkStart w:id="1" w:name="bookmark1"/>
      <w:r>
        <w:rPr>
          <w:rStyle w:val="CharStyle11"/>
          <w:i/>
          <w:iCs/>
        </w:rPr>
        <w:t>а</w:t>
      </w:r>
      <w:r>
        <w:rPr>
          <w:rStyle w:val="CharStyle12"/>
          <w:i w:val="0"/>
          <w:iCs w:val="0"/>
        </w:rPr>
        <w:t xml:space="preserve">№ </w:t>
      </w:r>
      <w:r>
        <w:rPr>
          <w:rStyle w:val="CharStyle13"/>
          <w:i/>
          <w:iCs/>
        </w:rPr>
        <w:t>/ярз/ск</w:t>
      </w:r>
      <w:bookmarkEnd w:id="1"/>
    </w:p>
    <w:p>
      <w:pPr>
        <w:pStyle w:val="Style7"/>
        <w:tabs>
          <w:tab w:leader="none" w:pos="2034" w:val="center"/>
        </w:tabs>
        <w:widowControl w:val="0"/>
        <w:keepNext w:val="0"/>
        <w:keepLines w:val="0"/>
        <w:shd w:val="clear" w:color="auto" w:fill="auto"/>
        <w:bidi w:val="0"/>
        <w:jc w:val="both"/>
        <w:spacing w:before="0" w:after="0" w:line="190" w:lineRule="exact"/>
        <w:ind w:left="40" w:right="0" w:firstLine="0"/>
      </w:pPr>
      <w:r>
        <w:rPr>
          <w:lang w:val="ru-RU" w:eastAsia="ru-RU" w:bidi="ru-RU"/>
          <w:w w:val="100"/>
          <w:color w:val="000000"/>
          <w:position w:val="0"/>
        </w:rPr>
        <w:t>На №</w:t>
        <w:tab/>
        <w:t>от</w:t>
      </w:r>
    </w:p>
    <w:p>
      <w:pPr>
        <w:pStyle w:val="Style14"/>
        <w:widowControl w:val="0"/>
        <w:keepNext w:val="0"/>
        <w:keepLines w:val="0"/>
        <w:shd w:val="clear" w:color="auto" w:fill="auto"/>
        <w:bidi w:val="0"/>
        <w:spacing w:before="0" w:after="0" w:line="230" w:lineRule="exact"/>
        <w:ind w:left="20" w:right="0" w:firstLine="0"/>
      </w:pPr>
      <w:r>
        <w:rPr>
          <w:rStyle w:val="CharStyle16"/>
        </w:rPr>
        <w:t>Заказчик:</w:t>
      </w:r>
    </w:p>
    <w:p>
      <w:pPr>
        <w:pStyle w:val="Style14"/>
        <w:widowControl w:val="0"/>
        <w:keepNext w:val="0"/>
        <w:keepLines w:val="0"/>
        <w:shd w:val="clear" w:color="auto" w:fill="auto"/>
        <w:bidi w:val="0"/>
        <w:jc w:val="left"/>
        <w:spacing w:before="0" w:after="234" w:line="292" w:lineRule="exact"/>
        <w:ind w:left="20" w:right="520" w:firstLine="0"/>
      </w:pPr>
      <w:r>
        <w:rPr>
          <w:lang w:val="ru-RU" w:eastAsia="ru-RU" w:bidi="ru-RU"/>
          <w:w w:val="100"/>
          <w:spacing w:val="0"/>
          <w:color w:val="000000"/>
          <w:position w:val="0"/>
        </w:rPr>
        <w:t>Администрация Начикинского сельского поселения</w:t>
      </w:r>
    </w:p>
    <w:p>
      <w:pPr>
        <w:pStyle w:val="Style14"/>
        <w:widowControl w:val="0"/>
        <w:keepNext w:val="0"/>
        <w:keepLines w:val="0"/>
        <w:shd w:val="clear" w:color="auto" w:fill="auto"/>
        <w:bidi w:val="0"/>
        <w:jc w:val="left"/>
        <w:spacing w:before="0" w:after="295" w:line="299" w:lineRule="exact"/>
        <w:ind w:left="20" w:right="520" w:firstLine="0"/>
      </w:pPr>
      <w:r>
        <w:rPr>
          <w:lang w:val="ru-RU" w:eastAsia="ru-RU" w:bidi="ru-RU"/>
          <w:w w:val="100"/>
          <w:spacing w:val="0"/>
          <w:color w:val="000000"/>
          <w:position w:val="0"/>
        </w:rPr>
        <w:t>ул. Лесная, д. 1, п. Сокоч, Камчатский край, 684029</w:t>
      </w:r>
    </w:p>
    <w:p>
      <w:pPr>
        <w:pStyle w:val="Style14"/>
        <w:widowControl w:val="0"/>
        <w:keepNext w:val="0"/>
        <w:keepLines w:val="0"/>
        <w:shd w:val="clear" w:color="auto" w:fill="auto"/>
        <w:bidi w:val="0"/>
        <w:spacing w:before="0" w:after="10" w:line="230" w:lineRule="exact"/>
        <w:ind w:left="20" w:right="0" w:firstLine="0"/>
      </w:pPr>
      <w:r>
        <w:rPr>
          <w:rStyle w:val="CharStyle16"/>
        </w:rPr>
        <w:t>Заявитель:</w:t>
      </w:r>
    </w:p>
    <w:p>
      <w:pPr>
        <w:pStyle w:val="Style14"/>
        <w:widowControl w:val="0"/>
        <w:keepNext w:val="0"/>
        <w:keepLines w:val="0"/>
        <w:shd w:val="clear" w:color="auto" w:fill="auto"/>
        <w:bidi w:val="0"/>
        <w:spacing w:before="0" w:after="252" w:line="230" w:lineRule="exact"/>
        <w:ind w:left="20" w:right="0" w:firstLine="0"/>
      </w:pPr>
      <w:r>
        <w:rPr>
          <w:lang w:val="ru-RU" w:eastAsia="ru-RU" w:bidi="ru-RU"/>
          <w:w w:val="100"/>
          <w:spacing w:val="0"/>
          <w:color w:val="000000"/>
          <w:position w:val="0"/>
        </w:rPr>
        <w:t>ООО «БЗКО Энергия»</w:t>
      </w:r>
    </w:p>
    <w:p>
      <w:pPr>
        <w:pStyle w:val="Style14"/>
        <w:widowControl w:val="0"/>
        <w:keepNext w:val="0"/>
        <w:keepLines w:val="0"/>
        <w:shd w:val="clear" w:color="auto" w:fill="auto"/>
        <w:bidi w:val="0"/>
        <w:spacing w:before="0" w:after="0" w:line="302" w:lineRule="exact"/>
        <w:ind w:left="20" w:right="0" w:firstLine="0"/>
        <w:sectPr>
          <w:footnotePr>
            <w:pos w:val="pageBottom"/>
            <w:numFmt w:val="decimal"/>
            <w:numRestart w:val="continuous"/>
          </w:footnotePr>
          <w:type w:val="continuous"/>
          <w:pgSz w:w="11906" w:h="16838"/>
          <w:pgMar w:top="1447" w:left="1719" w:right="1384" w:bottom="1451" w:header="0" w:footer="3" w:gutter="0"/>
          <w:rtlGutter w:val="0"/>
          <w:cols w:num="2" w:space="932"/>
          <w:noEndnote/>
          <w:docGrid w:linePitch="360"/>
        </w:sectPr>
      </w:pPr>
      <w:r>
        <w:rPr>
          <w:lang w:val="ru-RU" w:eastAsia="ru-RU" w:bidi="ru-RU"/>
          <w:w w:val="100"/>
          <w:spacing w:val="0"/>
          <w:color w:val="000000"/>
          <w:position w:val="0"/>
        </w:rPr>
        <w:t>ул. Калинина, д. 116/39, г. Барнаул, Алтайский край, 656037</w:t>
      </w: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4" w:line="230" w:lineRule="exact"/>
        <w:ind w:left="0" w:right="0" w:firstLine="0"/>
      </w:pPr>
      <w:r>
        <w:rPr>
          <w:lang w:val="ru-RU" w:eastAsia="ru-RU" w:bidi="ru-RU"/>
          <w:w w:val="100"/>
          <w:spacing w:val="0"/>
          <w:color w:val="000000"/>
          <w:position w:val="0"/>
        </w:rPr>
        <w:t>РЕШЕНИЕ</w:t>
      </w:r>
    </w:p>
    <w:p>
      <w:pPr>
        <w:pStyle w:val="Style14"/>
        <w:widowControl w:val="0"/>
        <w:keepNext w:val="0"/>
        <w:keepLines w:val="0"/>
        <w:shd w:val="clear" w:color="auto" w:fill="auto"/>
        <w:bidi w:val="0"/>
        <w:jc w:val="center"/>
        <w:spacing w:before="0" w:after="317" w:line="230" w:lineRule="exact"/>
        <w:ind w:left="0" w:right="0" w:firstLine="0"/>
      </w:pPr>
      <w:r>
        <w:rPr>
          <w:lang w:val="ru-RU" w:eastAsia="ru-RU" w:bidi="ru-RU"/>
          <w:w w:val="100"/>
          <w:spacing w:val="0"/>
          <w:color w:val="000000"/>
          <w:position w:val="0"/>
        </w:rPr>
        <w:t>по делу № 041/06/69-309/2020</w:t>
      </w:r>
    </w:p>
    <w:p>
      <w:pPr>
        <w:pStyle w:val="Style14"/>
        <w:tabs>
          <w:tab w:leader="none" w:pos="6026" w:val="left"/>
        </w:tabs>
        <w:widowControl w:val="0"/>
        <w:keepNext w:val="0"/>
        <w:keepLines w:val="0"/>
        <w:shd w:val="clear" w:color="auto" w:fill="auto"/>
        <w:bidi w:val="0"/>
        <w:spacing w:before="0" w:after="262" w:line="230" w:lineRule="exact"/>
        <w:ind w:left="0" w:right="0" w:firstLine="0"/>
      </w:pPr>
      <w:r>
        <w:rPr>
          <w:lang w:val="ru-RU" w:eastAsia="ru-RU" w:bidi="ru-RU"/>
          <w:w w:val="100"/>
          <w:spacing w:val="0"/>
          <w:color w:val="000000"/>
          <w:position w:val="0"/>
        </w:rPr>
        <w:t>03 августа 2020 г.</w:t>
        <w:tab/>
        <w:t>г. Петропавловск-Камчатский</w:t>
      </w:r>
    </w:p>
    <w:p>
      <w:pPr>
        <w:pStyle w:val="Style14"/>
        <w:widowControl w:val="0"/>
        <w:keepNext w:val="0"/>
        <w:keepLines w:val="0"/>
        <w:shd w:val="clear" w:color="auto" w:fill="auto"/>
        <w:bidi w:val="0"/>
        <w:spacing w:before="0" w:after="0" w:line="295" w:lineRule="exact"/>
        <w:ind w:left="0" w:right="20" w:firstLine="840"/>
      </w:pPr>
      <w:r>
        <w:rPr>
          <w:lang w:val="ru-RU" w:eastAsia="ru-RU" w:bidi="ru-RU"/>
          <w:w w:val="100"/>
          <w:spacing w:val="0"/>
          <w:color w:val="000000"/>
          <w:position w:val="0"/>
        </w:rPr>
        <w:t>Комиссия Управления Федеральной антимонопольной службы по Камчатскому краю (далее - Камчатское У ФАС России) по контролю в сфере закупок (далее - Комиссия) в составе:</w:t>
      </w:r>
    </w:p>
    <w:p>
      <w:pPr>
        <w:pStyle w:val="Style14"/>
        <w:widowControl w:val="0"/>
        <w:keepNext w:val="0"/>
        <w:keepLines w:val="0"/>
        <w:shd w:val="clear" w:color="auto" w:fill="auto"/>
        <w:bidi w:val="0"/>
        <w:jc w:val="left"/>
        <w:spacing w:before="0" w:after="0" w:line="295" w:lineRule="exact"/>
        <w:ind w:left="0" w:right="20" w:firstLine="0"/>
      </w:pPr>
      <w:r>
        <w:rPr>
          <w:lang w:val="ru-RU" w:eastAsia="ru-RU" w:bidi="ru-RU"/>
          <w:w w:val="100"/>
          <w:spacing w:val="0"/>
          <w:color w:val="000000"/>
          <w:position w:val="0"/>
        </w:rPr>
        <w:t>председателя Комиссии - начальника отдела антимонопольного контроля и закупок Парфирьевой С.Н., членов Комиссии:</w:t>
      </w:r>
    </w:p>
    <w:p>
      <w:pPr>
        <w:pStyle w:val="Style14"/>
        <w:widowControl w:val="0"/>
        <w:keepNext w:val="0"/>
        <w:keepLines w:val="0"/>
        <w:shd w:val="clear" w:color="auto" w:fill="auto"/>
        <w:bidi w:val="0"/>
        <w:spacing w:before="0" w:after="0" w:line="295" w:lineRule="exact"/>
        <w:ind w:left="0" w:right="20" w:firstLine="0"/>
      </w:pPr>
      <w:r>
        <w:rPr>
          <w:lang w:val="ru-RU" w:eastAsia="ru-RU" w:bidi="ru-RU"/>
          <w:w w:val="100"/>
          <w:spacing w:val="0"/>
          <w:color w:val="000000"/>
          <w:position w:val="0"/>
        </w:rPr>
        <w:t>главного специалиста-эксперта отдела антимонопольного контроля и закупок Романовой В.Н.,</w:t>
      </w:r>
    </w:p>
    <w:p>
      <w:pPr>
        <w:pStyle w:val="Style14"/>
        <w:widowControl w:val="0"/>
        <w:keepNext w:val="0"/>
        <w:keepLines w:val="0"/>
        <w:shd w:val="clear" w:color="auto" w:fill="auto"/>
        <w:bidi w:val="0"/>
        <w:jc w:val="left"/>
        <w:spacing w:before="0" w:after="0" w:line="295" w:lineRule="exact"/>
        <w:ind w:left="0" w:right="20" w:firstLine="0"/>
      </w:pPr>
      <w:r>
        <w:rPr>
          <w:lang w:val="ru-RU" w:eastAsia="ru-RU" w:bidi="ru-RU"/>
          <w:w w:val="100"/>
          <w:spacing w:val="0"/>
          <w:color w:val="000000"/>
          <w:position w:val="0"/>
        </w:rPr>
        <w:t>специалиста 1 разряда отдела правового обеспечения и рекламы Юрченко Ю.А., в присутствии представителя заказчика - администрации Начикинского сельского поселения (далее - Заказчик): Пищальченко В.М. (на основании распоряжения от 28.09.2016 №20),</w:t>
      </w:r>
    </w:p>
    <w:p>
      <w:pPr>
        <w:pStyle w:val="Style14"/>
        <w:widowControl w:val="0"/>
        <w:keepNext w:val="0"/>
        <w:keepLines w:val="0"/>
        <w:shd w:val="clear" w:color="auto" w:fill="auto"/>
        <w:bidi w:val="0"/>
        <w:spacing w:before="0" w:after="0" w:line="295" w:lineRule="exact"/>
        <w:ind w:left="0" w:right="20" w:firstLine="0"/>
      </w:pPr>
      <w:r>
        <w:rPr>
          <w:lang w:val="ru-RU" w:eastAsia="ru-RU" w:bidi="ru-RU"/>
          <w:w w:val="100"/>
          <w:spacing w:val="0"/>
          <w:color w:val="000000"/>
          <w:position w:val="0"/>
        </w:rPr>
        <w:t>в отсутствие заявителя - ООО «БЗКО Энергия» (далее - Заявитель), уведомленного о месте и времени рассмотрения жалобы по адресу электронной почты, рассмотрев посредством видеоконференцсвязи жалобу Заявителя на действия аукционной комиссии Заказчика при определении поставщика путем проведения электронного аукциона (далее - ЭА) на приобретение и установку котла КВр-1.16 (извещение № 0138300016920000002),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3"/>
        <w:widowControl w:val="0"/>
        <w:keepNext w:val="0"/>
        <w:keepLines w:val="0"/>
        <w:shd w:val="clear" w:color="auto" w:fill="auto"/>
        <w:bidi w:val="0"/>
        <w:spacing w:before="0" w:after="262" w:line="230" w:lineRule="exact"/>
        <w:ind w:left="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spacing w:before="0" w:after="0" w:line="299" w:lineRule="exact"/>
        <w:ind w:left="20" w:right="20" w:firstLine="840"/>
      </w:pPr>
      <w:r>
        <w:rPr>
          <w:lang w:val="ru-RU" w:eastAsia="ru-RU" w:bidi="ru-RU"/>
          <w:w w:val="100"/>
          <w:spacing w:val="0"/>
          <w:color w:val="000000"/>
          <w:position w:val="0"/>
        </w:rPr>
        <w:t>Заказчиком проводилась процедура определения поставщика путем ЭА на приобретение и установку котла КВр-1.16. (закупка № 0138300016920000002) (далее - Закупка).</w:t>
      </w:r>
    </w:p>
    <w:p>
      <w:pPr>
        <w:pStyle w:val="Style14"/>
        <w:widowControl w:val="0"/>
        <w:keepNext w:val="0"/>
        <w:keepLines w:val="0"/>
        <w:shd w:val="clear" w:color="auto" w:fill="auto"/>
        <w:bidi w:val="0"/>
        <w:spacing w:before="0" w:after="0" w:line="299" w:lineRule="exact"/>
        <w:ind w:left="20" w:right="20" w:firstLine="840"/>
      </w:pPr>
      <w:r>
        <w:rPr>
          <w:lang w:val="ru-RU" w:eastAsia="ru-RU" w:bidi="ru-RU"/>
          <w:w w:val="100"/>
          <w:spacing w:val="0"/>
          <w:color w:val="000000"/>
          <w:position w:val="0"/>
        </w:rPr>
        <w:t>Извещение и документация об ЭА размещены на официальном сайте единой информационной системы (далее - ЕИС) 03.07.2020; начальная (максимальная) цена контракта (далее - НМЦК) установлена в размере 2 144 464,00 руб.</w:t>
      </w:r>
    </w:p>
    <w:p>
      <w:pPr>
        <w:pStyle w:val="Style14"/>
        <w:widowControl w:val="0"/>
        <w:keepNext w:val="0"/>
        <w:keepLines w:val="0"/>
        <w:shd w:val="clear" w:color="auto" w:fill="auto"/>
        <w:bidi w:val="0"/>
        <w:spacing w:before="0" w:after="0" w:line="299" w:lineRule="exact"/>
        <w:ind w:left="20" w:right="20" w:firstLine="840"/>
      </w:pPr>
      <w:r>
        <w:rPr>
          <w:lang w:val="ru-RU" w:eastAsia="ru-RU" w:bidi="ru-RU"/>
          <w:w w:val="100"/>
          <w:spacing w:val="0"/>
          <w:color w:val="000000"/>
          <w:position w:val="0"/>
        </w:rPr>
        <w:t>В соответствии с протоколом рассмотрения заявок на участие в ЭА от 14.07.2020 на участие в ЭА подано три заявки: № 232, № 131 и № 218, которые допущены к участию в ЭА.</w:t>
      </w:r>
    </w:p>
    <w:p>
      <w:pPr>
        <w:pStyle w:val="Style14"/>
        <w:widowControl w:val="0"/>
        <w:keepNext w:val="0"/>
        <w:keepLines w:val="0"/>
        <w:shd w:val="clear" w:color="auto" w:fill="auto"/>
        <w:bidi w:val="0"/>
        <w:spacing w:before="0" w:after="246" w:line="299" w:lineRule="exact"/>
        <w:ind w:left="20" w:right="20" w:firstLine="840"/>
      </w:pPr>
      <w:r>
        <w:rPr>
          <w:lang w:val="ru-RU" w:eastAsia="ru-RU" w:bidi="ru-RU"/>
          <w:w w:val="100"/>
          <w:spacing w:val="0"/>
          <w:color w:val="000000"/>
          <w:position w:val="0"/>
        </w:rPr>
        <w:t>В соответствии с протоколом подведения итогов ЭА от 21.07.2020 заявка участника ООО «БЗКО Энергия» № 218 признана не соответствующей требованиям, установленным документацией об ЭА, на основании пункта 1 части 6 статьи 69 Закона о контрактной системе.</w:t>
      </w:r>
    </w:p>
    <w:p>
      <w:pPr>
        <w:pStyle w:val="Style14"/>
        <w:widowControl w:val="0"/>
        <w:keepNext w:val="0"/>
        <w:keepLines w:val="0"/>
        <w:shd w:val="clear" w:color="auto" w:fill="auto"/>
        <w:bidi w:val="0"/>
        <w:spacing w:before="0" w:after="0" w:line="292" w:lineRule="exact"/>
        <w:ind w:left="20" w:right="20" w:firstLine="840"/>
      </w:pPr>
      <w:r>
        <w:rPr>
          <w:lang w:val="ru-RU" w:eastAsia="ru-RU" w:bidi="ru-RU"/>
          <w:w w:val="100"/>
          <w:spacing w:val="0"/>
          <w:color w:val="000000"/>
          <w:position w:val="0"/>
        </w:rPr>
        <w:t>27.07.2020 в Камчатское УФАС России поступила жалоба ООО «БЗКО Энергия» на действия аукционной комиссии Заказчика (далее - Аукционная комиссия).</w:t>
      </w:r>
    </w:p>
    <w:p>
      <w:pPr>
        <w:pStyle w:val="Style14"/>
        <w:widowControl w:val="0"/>
        <w:keepNext w:val="0"/>
        <w:keepLines w:val="0"/>
        <w:shd w:val="clear" w:color="auto" w:fill="auto"/>
        <w:bidi w:val="0"/>
        <w:spacing w:before="0" w:after="243" w:line="299" w:lineRule="exact"/>
        <w:ind w:left="20" w:right="20" w:firstLine="840"/>
      </w:pPr>
      <w:r>
        <w:rPr>
          <w:lang w:val="ru-RU" w:eastAsia="ru-RU" w:bidi="ru-RU"/>
          <w:w w:val="100"/>
          <w:spacing w:val="0"/>
          <w:color w:val="000000"/>
          <w:position w:val="0"/>
        </w:rPr>
        <w:t>По мнению Заявителя, Аукционная комиссия неправомерно признала его заявку не соответствующей требованиям, установленным документацией об ЭА, поскольку в протоколе подведения итогов ЭА не указано обоснование этого решения, в нарушение пункта 8 части 69 Закона о контрактной системе.</w:t>
      </w:r>
    </w:p>
    <w:p>
      <w:pPr>
        <w:pStyle w:val="Style14"/>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Заказчик с доводом жалобы не согласился, в письме от 30.07.2020 № 752 возразил следующее.</w:t>
      </w:r>
    </w:p>
    <w:p>
      <w:pPr>
        <w:pStyle w:val="Style14"/>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Заявка ООО «БЗКО Энергия» признана не соответствующей требованиям, установленным документацией об ЭА на основании пункта 1 части 6 статьи 69 Закона о контрактной системе (несоответствие аукционной документации) по следующим основаниям:</w:t>
      </w:r>
    </w:p>
    <w:p>
      <w:pPr>
        <w:pStyle w:val="Style14"/>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 xml:space="preserve"> во второй части заявки отсутствует идентификационный номер налогоплательщика (при наличии) учредителей, членов коллегиального исполнительного органа, лицо, исполняющего функции единоличного исполнительного органа участника ЭА;</w:t>
      </w:r>
    </w:p>
    <w:p>
      <w:pPr>
        <w:pStyle w:val="Style14"/>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 xml:space="preserve"> Заявитель привлек в качестве субподрядной организации ООО «Жилищная коммунальная компания», которая до 21.09.2020 находится в реестре недобросовестных поставщиков;</w:t>
      </w:r>
    </w:p>
    <w:p>
      <w:pPr>
        <w:pStyle w:val="Style14"/>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 xml:space="preserve"> Заявитель в декларации о соответствии участника закупки критериям отнесения к субъектам малого предпринимательства (далее - Декларация) представил недостоверные сведения о численности работников за предшествующий календарный год;</w:t>
      </w:r>
    </w:p>
    <w:p>
      <w:pPr>
        <w:pStyle w:val="Style14"/>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 xml:space="preserve"> Заявитель в Декларации не указал объем выручки от реализации товаров, работ, услуг без учета налога на добавленную стоимость или балансовую стоимость активов за последние три года;</w:t>
      </w:r>
    </w:p>
    <w:p>
      <w:pPr>
        <w:pStyle w:val="Style14"/>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w w:val="100"/>
          <w:spacing w:val="0"/>
          <w:color w:val="000000"/>
          <w:position w:val="0"/>
        </w:rPr>
        <w:t xml:space="preserve"> Заявитель в Декларации представил недостоверные сведения о наличии опыта исполнения договоров.</w:t>
      </w:r>
    </w:p>
    <w:p>
      <w:pPr>
        <w:pStyle w:val="Style14"/>
        <w:widowControl w:val="0"/>
        <w:keepNext w:val="0"/>
        <w:keepLines w:val="0"/>
        <w:shd w:val="clear" w:color="auto" w:fill="auto"/>
        <w:bidi w:val="0"/>
        <w:spacing w:before="0" w:after="243" w:line="299" w:lineRule="exact"/>
        <w:ind w:left="40" w:right="20" w:firstLine="700"/>
      </w:pPr>
      <w:r>
        <w:rPr>
          <w:lang w:val="ru-RU" w:eastAsia="ru-RU" w:bidi="ru-RU"/>
          <w:w w:val="100"/>
          <w:spacing w:val="0"/>
          <w:color w:val="000000"/>
          <w:position w:val="0"/>
        </w:rPr>
        <w:t>Вышеуказанные основания Заказчик не указал в протоколе подведения итогов ЭА в связи с малым объемом таблицы, в которой эти основания должны быть указаны.</w:t>
      </w:r>
    </w:p>
    <w:p>
      <w:pPr>
        <w:pStyle w:val="Style14"/>
        <w:widowControl w:val="0"/>
        <w:keepNext w:val="0"/>
        <w:keepLines w:val="0"/>
        <w:shd w:val="clear" w:color="auto" w:fill="auto"/>
        <w:bidi w:val="0"/>
        <w:spacing w:before="0" w:after="237" w:line="295" w:lineRule="exact"/>
        <w:ind w:left="40" w:right="20" w:firstLine="70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выявила следующие обстоятельства.</w:t>
      </w:r>
    </w:p>
    <w:p>
      <w:pPr>
        <w:pStyle w:val="Style14"/>
        <w:numPr>
          <w:ilvl w:val="0"/>
          <w:numId w:val="3"/>
        </w:numPr>
        <w:tabs>
          <w:tab w:leader="none" w:pos="1037" w:val="left"/>
        </w:tabs>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Порядок рассмотрения вторых частей заявок установлен статьёй 69 Закона о контрактной системе.</w:t>
      </w:r>
    </w:p>
    <w:p>
      <w:pPr>
        <w:pStyle w:val="Style14"/>
        <w:numPr>
          <w:ilvl w:val="1"/>
          <w:numId w:val="3"/>
        </w:numPr>
        <w:tabs>
          <w:tab w:leader="none" w:pos="1257" w:val="left"/>
        </w:tabs>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В соответствии с частью 1 статьи 69 Закона о контрактной системе, аукционная комиссия рассматривает вторые части заявок на участие в ЭА, информацию и электронные документы, направленные заказчику оператором электронной площадки в соответствии с частью 19 статьи 68 данного Федерального закона, в части соответствия их требованиям, установленным документацией о таком аукционе.</w:t>
      </w:r>
    </w:p>
    <w:p>
      <w:pPr>
        <w:pStyle w:val="Style14"/>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 xml:space="preserve">Согласно пункту 1 части 6 статьи 69 Закона о контрактной системе </w:t>
      </w:r>
      <w:r>
        <w:rPr>
          <w:rStyle w:val="CharStyle17"/>
        </w:rPr>
        <w:t>заявка</w:t>
      </w:r>
      <w:r>
        <w:rPr>
          <w:lang w:val="ru-RU" w:eastAsia="ru-RU" w:bidi="ru-RU"/>
          <w:w w:val="100"/>
          <w:spacing w:val="0"/>
          <w:color w:val="000000"/>
          <w:position w:val="0"/>
        </w:rPr>
        <w:t xml:space="preserve"> на участие в ЭА </w:t>
      </w:r>
      <w:r>
        <w:rPr>
          <w:rStyle w:val="CharStyle17"/>
        </w:rPr>
        <w:t>признается не соответствующей</w:t>
      </w:r>
      <w:r>
        <w:rPr>
          <w:lang w:val="ru-RU" w:eastAsia="ru-RU" w:bidi="ru-RU"/>
          <w:w w:val="100"/>
          <w:spacing w:val="0"/>
          <w:color w:val="000000"/>
          <w:position w:val="0"/>
        </w:rPr>
        <w:t xml:space="preserve"> требованиям, установленным документацией об ЭА, </w:t>
      </w:r>
      <w:r>
        <w:rPr>
          <w:rStyle w:val="CharStyle17"/>
        </w:rPr>
        <w:t>в случае</w:t>
      </w:r>
      <w:r>
        <w:rPr>
          <w:lang w:val="ru-RU" w:eastAsia="ru-RU" w:bidi="ru-RU"/>
          <w:w w:val="100"/>
          <w:spacing w:val="0"/>
          <w:color w:val="000000"/>
          <w:position w:val="0"/>
        </w:rPr>
        <w:t>:</w:t>
      </w:r>
    </w:p>
    <w:p>
      <w:pPr>
        <w:pStyle w:val="Style18"/>
        <w:numPr>
          <w:ilvl w:val="0"/>
          <w:numId w:val="5"/>
        </w:numPr>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данного Федерального закона, несоответствия указанных документов и информации требованиям, установленным, документацией об ЭА, наличия в указанных документах недостоверной информации об участнике ЭА на дату и время окончания срока подачи заявок на участие в ЭА;</w:t>
      </w:r>
    </w:p>
    <w:p>
      <w:pPr>
        <w:pStyle w:val="Style14"/>
        <w:numPr>
          <w:ilvl w:val="0"/>
          <w:numId w:val="5"/>
        </w:numPr>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 xml:space="preserve"> несоответствия участника такого ЭА, установленным в соответствии с частью 1, частями 1.1, 2 и 2.1 (при наличии таких требований) статьи 31 настоящего Федерального закона;</w:t>
      </w:r>
    </w:p>
    <w:p>
      <w:pPr>
        <w:pStyle w:val="Style14"/>
        <w:numPr>
          <w:ilvl w:val="0"/>
          <w:numId w:val="5"/>
        </w:numPr>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данного Федерального закона.</w:t>
      </w:r>
    </w:p>
    <w:p>
      <w:pPr>
        <w:pStyle w:val="Style14"/>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На основании части 7 статьи 69 Закона о контрактной системе принятие решения о несоответствии заявки на участие в ЭА требованиям, установленным документацией об ЭА, по основаниям, не предусмотренным частью 6 данной статьи, не допускается. Заявка на участие в ЭА не может быть признана не соответствующей требованиям, установленным документацией об ЭА, в связи с отсутствием в ней информации и электронных документов, предусмотренных пунктом 5 части 5 статьи 66 данного Федерального закона, а также пунктом 6 части 5 статьи 66 данного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14"/>
        <w:widowControl w:val="0"/>
        <w:keepNext w:val="0"/>
        <w:keepLines w:val="0"/>
        <w:shd w:val="clear" w:color="auto" w:fill="auto"/>
        <w:bidi w:val="0"/>
        <w:spacing w:before="0" w:after="0" w:line="299" w:lineRule="exact"/>
        <w:ind w:left="40" w:right="20" w:firstLine="700"/>
      </w:pPr>
      <w:r>
        <w:rPr>
          <w:lang w:val="ru-RU" w:eastAsia="ru-RU" w:bidi="ru-RU"/>
          <w:w w:val="100"/>
          <w:spacing w:val="0"/>
          <w:color w:val="000000"/>
          <w:position w:val="0"/>
        </w:rPr>
        <w:t>В соответствии с пунктом 1 части 5 статьи 66 Закона о контрактной системе вторая часть заявки на участие в ЭА должна содержать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4"/>
        <w:widowControl w:val="0"/>
        <w:keepNext w:val="0"/>
        <w:keepLines w:val="0"/>
        <w:shd w:val="clear" w:color="auto" w:fill="auto"/>
        <w:bidi w:val="0"/>
        <w:spacing w:before="0" w:after="0" w:line="299" w:lineRule="exact"/>
        <w:ind w:left="20" w:right="20" w:firstLine="700"/>
      </w:pPr>
      <w:r>
        <w:rPr>
          <w:lang w:val="ru-RU" w:eastAsia="ru-RU" w:bidi="ru-RU"/>
          <w:w w:val="100"/>
          <w:spacing w:val="0"/>
          <w:color w:val="000000"/>
          <w:position w:val="0"/>
        </w:rPr>
        <w:t>На основании пункта 2 части 5 статьи 66 Закона о контрактной системе вторая часть заявки на участие в ЭА должна содержать документы, подтверждающие соответствие участника ЭА требованиям, установленным пунктом 1 части 1 статьи 31 данного Федерального закона, или копии этих документов, а также декларация о соответствии участника ЭА требованиям, установленным пунктами 3 - 9 части 1 статьи 31 данного Федерального закона (указанная декларация предоставляется с использованием программно-аппаратных средств электронной площадки).</w:t>
      </w:r>
    </w:p>
    <w:p>
      <w:pPr>
        <w:pStyle w:val="Style14"/>
        <w:widowControl w:val="0"/>
        <w:keepNext w:val="0"/>
        <w:keepLines w:val="0"/>
        <w:shd w:val="clear" w:color="auto" w:fill="auto"/>
        <w:bidi w:val="0"/>
        <w:spacing w:before="0" w:after="240" w:line="299" w:lineRule="exact"/>
        <w:ind w:left="20" w:right="20" w:firstLine="700"/>
      </w:pPr>
      <w:r>
        <w:rPr>
          <w:lang w:val="ru-RU" w:eastAsia="ru-RU" w:bidi="ru-RU"/>
          <w:w w:val="100"/>
          <w:spacing w:val="0"/>
          <w:color w:val="000000"/>
          <w:position w:val="0"/>
        </w:rPr>
        <w:t>Согласно части 6 статьи 66 Закона о контрактной системе в сфере закупок требовать от участника ЭА предоставления иных документов и информации, за исключением предусмотренных частями 3 и 5 данной статьи документов и информации, не допускается.</w:t>
      </w:r>
    </w:p>
    <w:p>
      <w:pPr>
        <w:pStyle w:val="Style14"/>
        <w:widowControl w:val="0"/>
        <w:keepNext w:val="0"/>
        <w:keepLines w:val="0"/>
        <w:shd w:val="clear" w:color="auto" w:fill="auto"/>
        <w:bidi w:val="0"/>
        <w:spacing w:before="0" w:after="240" w:line="299" w:lineRule="exact"/>
        <w:ind w:left="20" w:right="20" w:firstLine="700"/>
      </w:pPr>
      <w:r>
        <w:rPr>
          <w:lang w:val="ru-RU" w:eastAsia="ru-RU" w:bidi="ru-RU"/>
          <w:w w:val="100"/>
          <w:spacing w:val="0"/>
          <w:color w:val="000000"/>
          <w:position w:val="0"/>
        </w:rPr>
        <w:t>В документации об ЭА требование к составу второй части заявки установлено в соответствии с вышеуказанными нормами Закона о контрактной системе.</w:t>
      </w:r>
    </w:p>
    <w:p>
      <w:pPr>
        <w:pStyle w:val="Style14"/>
        <w:widowControl w:val="0"/>
        <w:keepNext w:val="0"/>
        <w:keepLines w:val="0"/>
        <w:shd w:val="clear" w:color="auto" w:fill="auto"/>
        <w:bidi w:val="0"/>
        <w:spacing w:before="0" w:after="0" w:line="299" w:lineRule="exact"/>
        <w:ind w:left="20" w:right="20" w:firstLine="540"/>
      </w:pPr>
      <w:r>
        <w:rPr>
          <w:lang w:val="ru-RU" w:eastAsia="ru-RU" w:bidi="ru-RU"/>
          <w:w w:val="100"/>
          <w:spacing w:val="0"/>
          <w:color w:val="000000"/>
          <w:position w:val="0"/>
        </w:rPr>
        <w:t>Как следует из материалов дела, в составе второй части заявки Заявителя представлена выписка из ЕГРЮЛ от 10.06.2020, в которой в разделе «Сведения об учредителях (участника) юридического лица» имеются сведения об ИНН учредителя Циттель Е.В.</w:t>
      </w:r>
    </w:p>
    <w:p>
      <w:pPr>
        <w:pStyle w:val="Style14"/>
        <w:widowControl w:val="0"/>
        <w:keepNext w:val="0"/>
        <w:keepLines w:val="0"/>
        <w:shd w:val="clear" w:color="auto" w:fill="auto"/>
        <w:bidi w:val="0"/>
        <w:spacing w:before="0" w:after="0" w:line="299" w:lineRule="exact"/>
        <w:ind w:left="20" w:right="20" w:firstLine="540"/>
      </w:pPr>
      <w:r>
        <w:rPr>
          <w:lang w:val="ru-RU" w:eastAsia="ru-RU" w:bidi="ru-RU"/>
          <w:w w:val="100"/>
          <w:spacing w:val="0"/>
          <w:color w:val="000000"/>
          <w:position w:val="0"/>
        </w:rPr>
        <w:t>Не указание участником закупки в составе второй части заявки сведений об ИНН лица, исполняющего функции единоличного исполнительного органа, при его отсутствии, само по себе не влечет признание такой заявки не соответствующей требованиям, установленным документацией об ЭА.</w:t>
      </w:r>
    </w:p>
    <w:p>
      <w:pPr>
        <w:pStyle w:val="Style14"/>
        <w:widowControl w:val="0"/>
        <w:keepNext w:val="0"/>
        <w:keepLines w:val="0"/>
        <w:shd w:val="clear" w:color="auto" w:fill="auto"/>
        <w:bidi w:val="0"/>
        <w:spacing w:before="0" w:after="0" w:line="295" w:lineRule="exact"/>
        <w:ind w:left="20" w:right="20" w:firstLine="540"/>
      </w:pPr>
      <w:r>
        <w:rPr>
          <w:lang w:val="ru-RU" w:eastAsia="ru-RU" w:bidi="ru-RU"/>
          <w:w w:val="100"/>
          <w:spacing w:val="0"/>
          <w:color w:val="000000"/>
          <w:position w:val="0"/>
        </w:rPr>
        <w:t>Таким образом, вторая часть заявки Заявителя на момент подачи соответствовала требованиям документации об ЭА и Закона о контрактной системе.</w:t>
      </w:r>
    </w:p>
    <w:p>
      <w:pPr>
        <w:pStyle w:val="Style14"/>
        <w:widowControl w:val="0"/>
        <w:keepNext w:val="0"/>
        <w:keepLines w:val="0"/>
        <w:shd w:val="clear" w:color="auto" w:fill="auto"/>
        <w:bidi w:val="0"/>
        <w:spacing w:before="0" w:after="246" w:line="302" w:lineRule="exact"/>
        <w:ind w:left="20" w:right="20" w:firstLine="540"/>
      </w:pPr>
      <w:r>
        <w:rPr>
          <w:lang w:val="ru-RU" w:eastAsia="ru-RU" w:bidi="ru-RU"/>
          <w:w w:val="100"/>
          <w:spacing w:val="0"/>
          <w:color w:val="000000"/>
          <w:position w:val="0"/>
        </w:rPr>
        <w:t xml:space="preserve">Следовательно, Аукционная комиссия приняла решение о несоответствии заявки № 218 требованиям, установленным документацией об ЭА, по основаниям, не предусмотренным частью 6 статьи 69 Закона о контрактной системе, </w:t>
      </w:r>
      <w:r>
        <w:rPr>
          <w:rStyle w:val="CharStyle20"/>
        </w:rPr>
        <w:t>в нарушение части 7 статьи 69 Закона о контрактной системе.</w:t>
      </w:r>
    </w:p>
    <w:p>
      <w:pPr>
        <w:pStyle w:val="Style14"/>
        <w:widowControl w:val="0"/>
        <w:keepNext w:val="0"/>
        <w:keepLines w:val="0"/>
        <w:shd w:val="clear" w:color="auto" w:fill="auto"/>
        <w:bidi w:val="0"/>
        <w:spacing w:before="0" w:after="240" w:line="295" w:lineRule="exact"/>
        <w:ind w:left="20" w:right="20" w:firstLine="540"/>
      </w:pPr>
      <w:r>
        <w:rPr>
          <w:lang w:val="ru-RU" w:eastAsia="ru-RU" w:bidi="ru-RU"/>
          <w:w w:val="100"/>
          <w:spacing w:val="0"/>
          <w:color w:val="000000"/>
          <w:position w:val="0"/>
        </w:rPr>
        <w:t>Выявленное нарушение содержит признаки состава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p>
    <w:p>
      <w:pPr>
        <w:pStyle w:val="Style14"/>
        <w:numPr>
          <w:ilvl w:val="1"/>
          <w:numId w:val="3"/>
        </w:numPr>
        <w:tabs>
          <w:tab w:leader="none" w:pos="1085" w:val="left"/>
        </w:tabs>
        <w:widowControl w:val="0"/>
        <w:keepNext w:val="0"/>
        <w:keepLines w:val="0"/>
        <w:shd w:val="clear" w:color="auto" w:fill="auto"/>
        <w:bidi w:val="0"/>
        <w:spacing w:before="0" w:after="237" w:line="295" w:lineRule="exact"/>
        <w:ind w:left="20" w:right="20" w:firstLine="540"/>
      </w:pPr>
      <w:r>
        <w:rPr>
          <w:lang w:val="ru-RU" w:eastAsia="ru-RU" w:bidi="ru-RU"/>
          <w:w w:val="100"/>
          <w:spacing w:val="0"/>
          <w:color w:val="000000"/>
          <w:position w:val="0"/>
        </w:rPr>
        <w:t xml:space="preserve">На основании части 8 вышеуказанной статьи, результаты рассмотрения заявок на участие в ЭА фиксируются в протоколе подведения итогов ЭА. Указанный протокол должен содержать, в том числе, решение о соответствии или о несоответствии заявок на участие в ЭА требованиям, установленным документацией о нем, </w:t>
      </w:r>
      <w:r>
        <w:rPr>
          <w:rStyle w:val="CharStyle17"/>
        </w:rPr>
        <w:t>с обоснованием этого решения и с указанием</w:t>
      </w:r>
      <w:r>
        <w:rPr>
          <w:lang w:val="ru-RU" w:eastAsia="ru-RU" w:bidi="ru-RU"/>
          <w:w w:val="100"/>
          <w:spacing w:val="0"/>
          <w:color w:val="000000"/>
          <w:position w:val="0"/>
        </w:rPr>
        <w:t xml:space="preserve"> положений данного Федерального закона, которым не соответствует участник ЭА, </w:t>
      </w:r>
      <w:r>
        <w:rPr>
          <w:rStyle w:val="CharStyle17"/>
        </w:rPr>
        <w:t>положений документации об ЭА, которым не соответствует заявка на участие в нем., положений заявки на участие в ЭА, которые не соответствуют требованиям, установленным документацией о нем,</w:t>
      </w:r>
      <w:r>
        <w:rPr>
          <w:rStyle w:val="CharStyle21"/>
        </w:rPr>
        <w:t xml:space="preserve"> информацию о решении каждого члена аукционной комиссии в отношении каждой заявки на участие в ЭА.</w:t>
      </w:r>
    </w:p>
    <w:p>
      <w:pPr>
        <w:pStyle w:val="Style14"/>
        <w:widowControl w:val="0"/>
        <w:keepNext w:val="0"/>
        <w:keepLines w:val="0"/>
        <w:shd w:val="clear" w:color="auto" w:fill="auto"/>
        <w:bidi w:val="0"/>
        <w:spacing w:before="0" w:after="240" w:line="299" w:lineRule="exact"/>
        <w:ind w:left="40" w:right="20" w:firstLine="540"/>
      </w:pPr>
      <w:r>
        <w:rPr>
          <w:lang w:val="ru-RU" w:eastAsia="ru-RU" w:bidi="ru-RU"/>
          <w:w w:val="100"/>
          <w:spacing w:val="0"/>
          <w:color w:val="000000"/>
          <w:position w:val="0"/>
        </w:rPr>
        <w:t xml:space="preserve">Протокол подведения итогов от ЭА от 21.07.2020 не содержит обоснование принятого в отношении Заявителя решения с указанием положений данного Федерального закона, которым не соответствует Заявитель, положений документации об ЭА, которым не соответствует заявка на участие в нем, положений заявки на участие в ЭА, которые не соответствуют требованиям, установленным документацией о нем, </w:t>
      </w:r>
      <w:r>
        <w:rPr>
          <w:rStyle w:val="CharStyle20"/>
        </w:rPr>
        <w:t>в нарушение части 8 статьи 69 Закона о контрактной системе.</w:t>
      </w:r>
    </w:p>
    <w:p>
      <w:pPr>
        <w:pStyle w:val="Style14"/>
        <w:widowControl w:val="0"/>
        <w:keepNext w:val="0"/>
        <w:keepLines w:val="0"/>
        <w:shd w:val="clear" w:color="auto" w:fill="auto"/>
        <w:bidi w:val="0"/>
        <w:spacing w:before="0" w:after="0" w:line="299" w:lineRule="exact"/>
        <w:ind w:left="40" w:right="20" w:firstLine="540"/>
      </w:pPr>
      <w:r>
        <w:rPr>
          <w:lang w:val="ru-RU" w:eastAsia="ru-RU" w:bidi="ru-RU"/>
          <w:w w:val="100"/>
          <w:spacing w:val="0"/>
          <w:color w:val="000000"/>
          <w:position w:val="0"/>
        </w:rPr>
        <w:t>Выявленное нарушение содержит признаки состава административного правонарушения, ответственность за совершение которого предусмотрена частью</w:t>
      </w:r>
    </w:p>
    <w:p>
      <w:pPr>
        <w:pStyle w:val="Style14"/>
        <w:numPr>
          <w:ilvl w:val="0"/>
          <w:numId w:val="7"/>
        </w:numPr>
        <w:widowControl w:val="0"/>
        <w:keepNext w:val="0"/>
        <w:keepLines w:val="0"/>
        <w:shd w:val="clear" w:color="auto" w:fill="auto"/>
        <w:bidi w:val="0"/>
        <w:spacing w:before="0" w:after="240" w:line="295" w:lineRule="exact"/>
        <w:ind w:left="40" w:right="20" w:firstLine="0"/>
      </w:pPr>
      <w:r>
        <w:rPr>
          <w:lang w:val="ru-RU" w:eastAsia="ru-RU" w:bidi="ru-RU"/>
          <w:w w:val="100"/>
          <w:spacing w:val="0"/>
          <w:color w:val="000000"/>
          <w:position w:val="0"/>
        </w:rPr>
        <w:t xml:space="preserve"> статьи 7.30 Кодекса Российской Федерации об административных правонарушениях.</w:t>
      </w:r>
    </w:p>
    <w:p>
      <w:pPr>
        <w:pStyle w:val="Style14"/>
        <w:widowControl w:val="0"/>
        <w:keepNext w:val="0"/>
        <w:keepLines w:val="0"/>
        <w:shd w:val="clear" w:color="auto" w:fill="auto"/>
        <w:bidi w:val="0"/>
        <w:spacing w:before="0" w:after="240" w:line="295" w:lineRule="exact"/>
        <w:ind w:left="40" w:right="20" w:firstLine="700"/>
      </w:pPr>
      <w:r>
        <w:rPr>
          <w:lang w:val="ru-RU" w:eastAsia="ru-RU" w:bidi="ru-RU"/>
          <w:w w:val="100"/>
          <w:spacing w:val="0"/>
          <w:color w:val="000000"/>
          <w:position w:val="0"/>
        </w:rPr>
        <w:t>2. В соответствии с частью 1 статьи 64 Закона о контрактной системе, документация об ЭА должна содержать информацию, указанную в извещении о проведении ЭА.</w:t>
      </w:r>
    </w:p>
    <w:p>
      <w:pPr>
        <w:pStyle w:val="Style14"/>
        <w:widowControl w:val="0"/>
        <w:keepNext w:val="0"/>
        <w:keepLines w:val="0"/>
        <w:shd w:val="clear" w:color="auto" w:fill="auto"/>
        <w:bidi w:val="0"/>
        <w:spacing w:before="0" w:after="0" w:line="295" w:lineRule="exact"/>
        <w:ind w:left="40" w:right="20" w:firstLine="700"/>
      </w:pPr>
      <w:r>
        <w:rPr>
          <w:lang w:val="ru-RU" w:eastAsia="ru-RU" w:bidi="ru-RU"/>
          <w:w w:val="100"/>
          <w:spacing w:val="0"/>
          <w:color w:val="000000"/>
          <w:position w:val="0"/>
        </w:rPr>
        <w:t>В извещении о проведении ЭА установлено ограничение: закупка у субъектов малого предпринимательства и социально ориентированных некоммерческих организаций.</w:t>
      </w:r>
    </w:p>
    <w:p>
      <w:pPr>
        <w:pStyle w:val="Style14"/>
        <w:widowControl w:val="0"/>
        <w:keepNext w:val="0"/>
        <w:keepLines w:val="0"/>
        <w:shd w:val="clear" w:color="auto" w:fill="auto"/>
        <w:bidi w:val="0"/>
        <w:spacing w:before="0" w:after="0" w:line="295" w:lineRule="exact"/>
        <w:ind w:left="40" w:right="20" w:firstLine="700"/>
      </w:pPr>
      <w:r>
        <w:rPr>
          <w:lang w:val="ru-RU" w:eastAsia="ru-RU" w:bidi="ru-RU"/>
          <w:w w:val="100"/>
          <w:spacing w:val="0"/>
          <w:color w:val="000000"/>
          <w:position w:val="0"/>
        </w:rPr>
        <w:t>В пункте 37.1 документации об ЭА указано: ограничение в отношении участников закупки, которыми могут быть только субъекты малого предпринимательства и социально ориентированные некоммерческие организации, не установлено.</w:t>
      </w:r>
    </w:p>
    <w:p>
      <w:pPr>
        <w:pStyle w:val="Style14"/>
        <w:widowControl w:val="0"/>
        <w:keepNext w:val="0"/>
        <w:keepLines w:val="0"/>
        <w:shd w:val="clear" w:color="auto" w:fill="auto"/>
        <w:bidi w:val="0"/>
        <w:spacing w:before="0" w:after="237" w:line="299" w:lineRule="exact"/>
        <w:ind w:left="40" w:right="20" w:firstLine="700"/>
      </w:pPr>
      <w:r>
        <w:rPr>
          <w:lang w:val="ru-RU" w:eastAsia="ru-RU" w:bidi="ru-RU"/>
          <w:w w:val="100"/>
          <w:spacing w:val="0"/>
          <w:color w:val="000000"/>
          <w:position w:val="0"/>
        </w:rPr>
        <w:t xml:space="preserve">Таким образом, информация в документации об ЭА об ограничении участия в определения поставщика не соответствует информации, указанной в извещении об ЭА, </w:t>
      </w:r>
      <w:r>
        <w:rPr>
          <w:rStyle w:val="CharStyle20"/>
        </w:rPr>
        <w:t>в нарушение части 1 статьи 64 Закона о контрактной системе.</w:t>
      </w:r>
    </w:p>
    <w:p>
      <w:pPr>
        <w:pStyle w:val="Style14"/>
        <w:widowControl w:val="0"/>
        <w:keepNext w:val="0"/>
        <w:keepLines w:val="0"/>
        <w:shd w:val="clear" w:color="auto" w:fill="auto"/>
        <w:bidi w:val="0"/>
        <w:spacing w:before="0" w:after="0" w:line="302" w:lineRule="exact"/>
        <w:ind w:left="40" w:right="20" w:firstLine="700"/>
      </w:pPr>
      <w:r>
        <w:rPr>
          <w:lang w:val="ru-RU" w:eastAsia="ru-RU" w:bidi="ru-RU"/>
          <w:w w:val="100"/>
          <w:spacing w:val="0"/>
          <w:color w:val="000000"/>
          <w:position w:val="0"/>
        </w:rPr>
        <w:t>Выявленное нарушение содержит признаки состава административного правонарушения, ответственность за совершение которого предусмотрена частью</w:t>
      </w:r>
    </w:p>
    <w:p>
      <w:pPr>
        <w:pStyle w:val="Style14"/>
        <w:numPr>
          <w:ilvl w:val="0"/>
          <w:numId w:val="9"/>
        </w:numPr>
        <w:widowControl w:val="0"/>
        <w:keepNext w:val="0"/>
        <w:keepLines w:val="0"/>
        <w:shd w:val="clear" w:color="auto" w:fill="auto"/>
        <w:bidi w:val="0"/>
        <w:spacing w:before="0" w:after="237" w:line="292" w:lineRule="exact"/>
        <w:ind w:left="40" w:right="20" w:firstLine="0"/>
      </w:pPr>
      <w:r>
        <w:rPr>
          <w:lang w:val="ru-RU" w:eastAsia="ru-RU" w:bidi="ru-RU"/>
          <w:w w:val="100"/>
          <w:spacing w:val="0"/>
          <w:color w:val="000000"/>
          <w:position w:val="0"/>
        </w:rPr>
        <w:t xml:space="preserve"> статьи 7.30 Кодекса Российской Федерации об административных правонарушениях.</w:t>
      </w:r>
    </w:p>
    <w:p>
      <w:pPr>
        <w:pStyle w:val="Style14"/>
        <w:widowControl w:val="0"/>
        <w:keepNext w:val="0"/>
        <w:keepLines w:val="0"/>
        <w:shd w:val="clear" w:color="auto" w:fill="auto"/>
        <w:bidi w:val="0"/>
        <w:spacing w:before="0" w:after="292" w:line="295" w:lineRule="exact"/>
        <w:ind w:left="40" w:right="20" w:firstLine="840"/>
      </w:pPr>
      <w:r>
        <w:rPr>
          <w:lang w:val="ru-RU" w:eastAsia="ru-RU" w:bidi="ru-RU"/>
          <w:w w:val="100"/>
          <w:spacing w:val="0"/>
          <w:color w:val="000000"/>
          <w:position w:val="0"/>
        </w:rPr>
        <w:t>На основании изложенного и руководствуясь частью 8 статьи 106 Закона о контрактной системе и Административным регламентом, утвержденным приказом ФАС России от 19.11.2014 № 727/14, Комиссия</w:t>
      </w:r>
    </w:p>
    <w:p>
      <w:pPr>
        <w:pStyle w:val="Style22"/>
        <w:widowControl w:val="0"/>
        <w:keepNext/>
        <w:keepLines/>
        <w:shd w:val="clear" w:color="auto" w:fill="auto"/>
        <w:bidi w:val="0"/>
        <w:spacing w:before="0" w:after="314" w:line="230" w:lineRule="exact"/>
        <w:ind w:left="0" w:right="20" w:firstLine="0"/>
      </w:pPr>
      <w:bookmarkStart w:id="2" w:name="bookmark2"/>
      <w:r>
        <w:rPr>
          <w:lang w:val="ru-RU" w:eastAsia="ru-RU" w:bidi="ru-RU"/>
          <w:w w:val="100"/>
          <w:spacing w:val="0"/>
          <w:color w:val="000000"/>
          <w:position w:val="0"/>
        </w:rPr>
        <w:t>РЕШИЛА:</w:t>
      </w:r>
      <w:bookmarkEnd w:id="2"/>
    </w:p>
    <w:p>
      <w:pPr>
        <w:pStyle w:val="Style14"/>
        <w:numPr>
          <w:ilvl w:val="0"/>
          <w:numId w:val="11"/>
        </w:numPr>
        <w:widowControl w:val="0"/>
        <w:keepNext w:val="0"/>
        <w:keepLines w:val="0"/>
        <w:shd w:val="clear" w:color="auto" w:fill="auto"/>
        <w:bidi w:val="0"/>
        <w:spacing w:before="0" w:after="0" w:line="230" w:lineRule="exact"/>
        <w:ind w:left="40" w:right="0" w:firstLine="700"/>
      </w:pPr>
      <w:r>
        <w:rPr>
          <w:lang w:val="ru-RU" w:eastAsia="ru-RU" w:bidi="ru-RU"/>
          <w:w w:val="100"/>
          <w:spacing w:val="0"/>
          <w:color w:val="000000"/>
          <w:position w:val="0"/>
        </w:rPr>
        <w:t xml:space="preserve"> Признать жалобу обоснованной.</w:t>
      </w:r>
    </w:p>
    <w:p>
      <w:pPr>
        <w:pStyle w:val="Style14"/>
        <w:numPr>
          <w:ilvl w:val="0"/>
          <w:numId w:val="11"/>
        </w:numPr>
        <w:widowControl w:val="0"/>
        <w:keepNext w:val="0"/>
        <w:keepLines w:val="0"/>
        <w:shd w:val="clear" w:color="auto" w:fill="auto"/>
        <w:bidi w:val="0"/>
        <w:spacing w:before="0" w:after="0" w:line="277" w:lineRule="exact"/>
        <w:ind w:left="40" w:right="20" w:firstLine="700"/>
      </w:pPr>
      <w:r>
        <w:rPr>
          <w:lang w:val="ru-RU" w:eastAsia="ru-RU" w:bidi="ru-RU"/>
          <w:w w:val="100"/>
          <w:spacing w:val="0"/>
          <w:color w:val="000000"/>
          <w:position w:val="0"/>
        </w:rPr>
        <w:t xml:space="preserve"> Признать в действиях Аукционной комиссии нарушения частей 7, 8 статьи 69 Закона о контрактной системе.</w:t>
      </w:r>
    </w:p>
    <w:p>
      <w:pPr>
        <w:pStyle w:val="Style14"/>
        <w:numPr>
          <w:ilvl w:val="0"/>
          <w:numId w:val="11"/>
        </w:numPr>
        <w:widowControl w:val="0"/>
        <w:keepNext w:val="0"/>
        <w:keepLines w:val="0"/>
        <w:shd w:val="clear" w:color="auto" w:fill="auto"/>
        <w:bidi w:val="0"/>
        <w:spacing w:before="0" w:after="0" w:line="292" w:lineRule="exact"/>
        <w:ind w:left="0" w:right="0" w:firstLine="700"/>
      </w:pPr>
      <w:r>
        <w:rPr>
          <w:lang w:val="ru-RU" w:eastAsia="ru-RU" w:bidi="ru-RU"/>
          <w:w w:val="100"/>
          <w:spacing w:val="0"/>
          <w:color w:val="000000"/>
          <w:position w:val="0"/>
        </w:rPr>
        <w:t xml:space="preserve"> Признать в действиях Заказчика нарушение части 1 статьи 64 Закона о контрактной системе.</w:t>
      </w:r>
    </w:p>
    <w:p>
      <w:pPr>
        <w:pStyle w:val="Style14"/>
        <w:numPr>
          <w:ilvl w:val="0"/>
          <w:numId w:val="11"/>
        </w:numPr>
        <w:widowControl w:val="0"/>
        <w:keepNext w:val="0"/>
        <w:keepLines w:val="0"/>
        <w:shd w:val="clear" w:color="auto" w:fill="auto"/>
        <w:bidi w:val="0"/>
        <w:spacing w:before="0" w:after="0" w:line="292" w:lineRule="exact"/>
        <w:ind w:left="0" w:right="0" w:firstLine="700"/>
      </w:pPr>
      <w:r>
        <w:rPr>
          <w:lang w:val="ru-RU" w:eastAsia="ru-RU" w:bidi="ru-RU"/>
          <w:w w:val="100"/>
          <w:spacing w:val="0"/>
          <w:color w:val="000000"/>
          <w:position w:val="0"/>
        </w:rPr>
        <w:t xml:space="preserve"> Выдать Заказчику, Аукционной комиссии предписание об устранении выявленных нарушений.</w:t>
      </w:r>
    </w:p>
    <w:p>
      <w:pPr>
        <w:pStyle w:val="Style14"/>
        <w:numPr>
          <w:ilvl w:val="0"/>
          <w:numId w:val="11"/>
        </w:numPr>
        <w:widowControl w:val="0"/>
        <w:keepNext w:val="0"/>
        <w:keepLines w:val="0"/>
        <w:shd w:val="clear" w:color="auto" w:fill="auto"/>
        <w:bidi w:val="0"/>
        <w:spacing w:before="0" w:after="240" w:line="295" w:lineRule="exact"/>
        <w:ind w:left="0" w:right="0" w:firstLine="700"/>
      </w:pPr>
      <w:r>
        <w:rPr>
          <w:lang w:val="ru-RU" w:eastAsia="ru-RU" w:bidi="ru-RU"/>
          <w:w w:val="100"/>
          <w:spacing w:val="0"/>
          <w:color w:val="000000"/>
          <w:position w:val="0"/>
        </w:rPr>
        <w:t xml:space="preserve"> Материалы о выявленных нарушениях передать должностному лицу, уполномоченному рассматривать дела об административных правонарушениях, для рассмотрения вопроса о возбуждении административного производства в отношении членов Аукционной комиссии и должностного лица Заказчика.</w:t>
      </w:r>
    </w:p>
    <w:p>
      <w:pPr>
        <w:pStyle w:val="Style14"/>
        <w:widowControl w:val="0"/>
        <w:keepNext w:val="0"/>
        <w:keepLines w:val="0"/>
        <w:shd w:val="clear" w:color="auto" w:fill="auto"/>
        <w:bidi w:val="0"/>
        <w:spacing w:before="0" w:after="0" w:line="295" w:lineRule="exact"/>
        <w:ind w:left="0" w:right="0" w:firstLine="700"/>
        <w:sectPr>
          <w:type w:val="continuous"/>
          <w:pgSz w:w="11906" w:h="16838"/>
          <w:pgMar w:top="964" w:left="1268" w:right="1243" w:bottom="1562"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Председатель комиссии:</w:t>
      </w:r>
    </w:p>
    <w:sectPr>
      <w:type w:val="continuous"/>
      <w:pgSz w:w="11906" w:h="16838"/>
      <w:pgMar w:top="628" w:left="3397" w:right="5449" w:bottom="110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4.%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10">
    <w:name w:val="Заголовок №1_"/>
    <w:basedOn w:val="DefaultParagraphFont"/>
    <w:link w:val="Style9"/>
    <w:rPr>
      <w:b w:val="0"/>
      <w:bCs w:val="0"/>
      <w:i/>
      <w:iCs/>
      <w:u w:val="none"/>
      <w:strike w:val="0"/>
      <w:smallCaps w:val="0"/>
      <w:sz w:val="28"/>
      <w:szCs w:val="28"/>
      <w:rFonts w:ascii="Times New Roman" w:eastAsia="Times New Roman" w:hAnsi="Times New Roman" w:cs="Times New Roman"/>
      <w:spacing w:val="-40"/>
    </w:rPr>
  </w:style>
  <w:style w:type="character" w:customStyle="1" w:styleId="CharStyle11">
    <w:name w:val="Заголовок №1"/>
    <w:basedOn w:val="CharStyle10"/>
    <w:rPr>
      <w:lang w:val="ru-RU" w:eastAsia="ru-RU" w:bidi="ru-RU"/>
      <w:u w:val="single"/>
      <w:w w:val="100"/>
      <w:color w:val="000000"/>
      <w:position w:val="0"/>
    </w:rPr>
  </w:style>
  <w:style w:type="character" w:customStyle="1" w:styleId="CharStyle12">
    <w:name w:val="Заголовок №1 + Arial,11,5 pt,Не курсив,Интервал 0 pt"/>
    <w:basedOn w:val="CharStyle10"/>
    <w:rPr>
      <w:lang w:val="ru-RU" w:eastAsia="ru-RU" w:bidi="ru-RU"/>
      <w:i/>
      <w:iCs/>
      <w:sz w:val="23"/>
      <w:szCs w:val="23"/>
      <w:rFonts w:ascii="Arial" w:eastAsia="Arial" w:hAnsi="Arial" w:cs="Arial"/>
      <w:w w:val="100"/>
      <w:spacing w:val="0"/>
      <w:color w:val="000000"/>
      <w:position w:val="0"/>
    </w:rPr>
  </w:style>
  <w:style w:type="character" w:customStyle="1" w:styleId="CharStyle13">
    <w:name w:val="Заголовок №1 + Малые прописные"/>
    <w:basedOn w:val="CharStyle10"/>
    <w:rPr>
      <w:lang w:val="ru-RU" w:eastAsia="ru-RU" w:bidi="ru-RU"/>
      <w:u w:val="single"/>
      <w:smallCaps/>
      <w:w w:val="10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w w:val="100"/>
      <w:spacing w:val="0"/>
      <w:color w:val="000000"/>
      <w:position w:val="0"/>
    </w:rPr>
  </w:style>
  <w:style w:type="character" w:customStyle="1" w:styleId="CharStyle17">
    <w:name w:val="Основной текст + Курсив"/>
    <w:basedOn w:val="CharStyle15"/>
    <w:rPr>
      <w:lang w:val="ru-RU" w:eastAsia="ru-RU" w:bidi="ru-RU"/>
      <w:i/>
      <w:iCs/>
      <w:w w:val="100"/>
      <w:spacing w:val="0"/>
      <w:color w:val="000000"/>
      <w:position w:val="0"/>
    </w:rPr>
  </w:style>
  <w:style w:type="character" w:customStyle="1" w:styleId="CharStyle19">
    <w:name w:val="Основной текст (4)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0">
    <w:name w:val="Основной текст + Полужирный"/>
    <w:basedOn w:val="CharStyle15"/>
    <w:rPr>
      <w:lang w:val="ru-RU" w:eastAsia="ru-RU" w:bidi="ru-RU"/>
      <w:b/>
      <w:bCs/>
      <w:w w:val="100"/>
      <w:spacing w:val="0"/>
      <w:color w:val="000000"/>
      <w:position w:val="0"/>
    </w:rPr>
  </w:style>
  <w:style w:type="character" w:customStyle="1" w:styleId="CharStyle21">
    <w:name w:val="Основной текст (4) + Не курсив"/>
    <w:basedOn w:val="CharStyle19"/>
    <w:rPr>
      <w:lang w:val="ru-RU" w:eastAsia="ru-RU" w:bidi="ru-RU"/>
      <w:i/>
      <w:iCs/>
      <w:w w:val="100"/>
      <w:spacing w:val="0"/>
      <w:color w:val="000000"/>
      <w:position w:val="0"/>
    </w:rPr>
  </w:style>
  <w:style w:type="character" w:customStyle="1" w:styleId="CharStyle23">
    <w:name w:val="Заголовок №3_"/>
    <w:basedOn w:val="DefaultParagraphFont"/>
    <w:link w:val="Style22"/>
    <w:rPr>
      <w:b/>
      <w:bCs/>
      <w:i w:val="0"/>
      <w:iCs w:val="0"/>
      <w:u w:val="none"/>
      <w:strike w:val="0"/>
      <w:smallCaps w:val="0"/>
      <w:sz w:val="23"/>
      <w:szCs w:val="2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180" w:after="60" w:line="328"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60" w:line="256"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9">
    <w:name w:val="Заголовок №1"/>
    <w:basedOn w:val="Normal"/>
    <w:link w:val="CharStyle10"/>
    <w:pPr>
      <w:widowControl w:val="0"/>
      <w:shd w:val="clear" w:color="auto" w:fill="FFFFFF"/>
      <w:jc w:val="center"/>
      <w:outlineLvl w:val="0"/>
      <w:spacing w:before="60" w:after="60" w:line="0" w:lineRule="exact"/>
    </w:pPr>
    <w:rPr>
      <w:b w:val="0"/>
      <w:bCs w:val="0"/>
      <w:i/>
      <w:iCs/>
      <w:u w:val="none"/>
      <w:strike w:val="0"/>
      <w:smallCaps w:val="0"/>
      <w:sz w:val="28"/>
      <w:szCs w:val="28"/>
      <w:rFonts w:ascii="Times New Roman" w:eastAsia="Times New Roman" w:hAnsi="Times New Roman" w:cs="Times New Roman"/>
      <w:spacing w:val="-40"/>
    </w:rPr>
  </w:style>
  <w:style w:type="paragraph" w:customStyle="1" w:styleId="Style14">
    <w:name w:val="Основной текст"/>
    <w:basedOn w:val="Normal"/>
    <w:link w:val="CharStyle15"/>
    <w:pPr>
      <w:widowControl w:val="0"/>
      <w:shd w:val="clear" w:color="auto" w:fill="FFFFFF"/>
      <w:jc w:val="both"/>
      <w:spacing w:after="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line="299" w:lineRule="exact"/>
    </w:pPr>
    <w:rPr>
      <w:b w:val="0"/>
      <w:bCs w:val="0"/>
      <w:i/>
      <w:iCs/>
      <w:u w:val="none"/>
      <w:strike w:val="0"/>
      <w:smallCaps w:val="0"/>
      <w:sz w:val="23"/>
      <w:szCs w:val="23"/>
      <w:rFonts w:ascii="Times New Roman" w:eastAsia="Times New Roman" w:hAnsi="Times New Roman" w:cs="Times New Roman"/>
    </w:rPr>
  </w:style>
  <w:style w:type="paragraph" w:customStyle="1" w:styleId="Style22">
    <w:name w:val="Заголовок №3"/>
    <w:basedOn w:val="Normal"/>
    <w:link w:val="CharStyle23"/>
    <w:pPr>
      <w:widowControl w:val="0"/>
      <w:shd w:val="clear" w:color="auto" w:fill="FFFFFF"/>
      <w:jc w:val="center"/>
      <w:outlineLvl w:val="2"/>
      <w:spacing w:before="240" w:after="36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