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8" w:after="82"/>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26"/>
        <w:ind w:left="0" w:right="0" w:firstLine="0"/>
      </w:pPr>
      <w:r>
        <w:rPr>
          <w:lang w:val="ru-RU" w:eastAsia="ru-RU" w:bidi="ru-RU"/>
          <w:w w:val="100"/>
          <w:color w:val="000000"/>
          <w:position w:val="0"/>
        </w:rPr>
        <w:t>УПРАВЛЕНИЕ Федеральной антимонопольной службы но Орловской области</w:t>
      </w:r>
    </w:p>
    <w:p>
      <w:pPr>
        <w:pStyle w:val="Style7"/>
        <w:widowControl w:val="0"/>
        <w:keepNext w:val="0"/>
        <w:keepLines w:val="0"/>
        <w:shd w:val="clear" w:color="auto" w:fill="auto"/>
        <w:bidi w:val="0"/>
        <w:spacing w:before="0" w:after="217"/>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"mailto:to57@las.gov.ru" </w:instrText>
      </w:r>
      <w:r>
        <w:fldChar w:fldCharType="separate"/>
      </w:r>
      <w:r>
        <w:rPr>
          <w:rStyle w:val="Hyperlink"/>
          <w:lang w:val="en-US" w:eastAsia="en-US" w:bidi="en-US"/>
          <w:w w:val="100"/>
          <w:spacing w:val="0"/>
          <w:position w:val="0"/>
        </w:rPr>
        <w:t>to57@las.gov.ru</w:t>
      </w:r>
      <w:r>
        <w:fldChar w:fldCharType="end"/>
      </w:r>
    </w:p>
    <w:p>
      <w:pPr>
        <w:pStyle w:val="Style9"/>
        <w:widowControl w:val="0"/>
        <w:keepNext w:val="0"/>
        <w:keepLines w:val="0"/>
        <w:shd w:val="clear" w:color="auto" w:fill="auto"/>
        <w:bidi w:val="0"/>
        <w:spacing w:before="0" w:after="208" w:line="240" w:lineRule="exact"/>
        <w:ind w:left="0" w:right="0" w:firstLine="0"/>
      </w:pPr>
      <w:r>
        <w:rPr>
          <w:rStyle w:val="CharStyle11"/>
        </w:rPr>
        <w:t>06.08.2020</w:t>
      </w:r>
      <w:r>
        <w:rPr>
          <w:lang w:val="ru-RU" w:eastAsia="ru-RU" w:bidi="ru-RU"/>
          <w:sz w:val="24"/>
          <w:szCs w:val="24"/>
          <w:w w:val="100"/>
          <w:spacing w:val="0"/>
          <w:color w:val="000000"/>
          <w:position w:val="0"/>
        </w:rPr>
        <w:t xml:space="preserve"> № </w:t>
      </w:r>
      <w:r>
        <w:rPr>
          <w:rStyle w:val="CharStyle11"/>
        </w:rPr>
        <w:t>3602/03</w:t>
      </w:r>
    </w:p>
    <w:p>
      <w:pPr>
        <w:pStyle w:val="Style7"/>
        <w:tabs>
          <w:tab w:leader="none" w:pos="2419" w:val="right"/>
        </w:tabs>
        <w:widowControl w:val="0"/>
        <w:keepNext w:val="0"/>
        <w:keepLines w:val="0"/>
        <w:shd w:val="clear" w:color="auto" w:fill="auto"/>
        <w:bidi w:val="0"/>
        <w:jc w:val="both"/>
        <w:spacing w:before="0" w:after="0" w:line="160" w:lineRule="exact"/>
        <w:ind w:left="480" w:right="0" w:firstLine="0"/>
      </w:pPr>
      <w:r>
        <w:rPr>
          <w:lang w:val="ru-RU" w:eastAsia="ru-RU" w:bidi="ru-RU"/>
          <w:w w:val="100"/>
          <w:spacing w:val="0"/>
          <w:color w:val="000000"/>
          <w:position w:val="0"/>
        </w:rPr>
        <w:t>На №</w:t>
        <w:tab/>
        <w:t>от</w:t>
      </w:r>
    </w:p>
    <w:p>
      <w:pPr>
        <w:pStyle w:val="Style9"/>
        <w:widowControl w:val="0"/>
        <w:keepNext w:val="0"/>
        <w:keepLines w:val="0"/>
        <w:shd w:val="clear" w:color="auto" w:fill="auto"/>
        <w:bidi w:val="0"/>
        <w:jc w:val="right"/>
        <w:spacing w:before="0" w:after="290" w:line="302" w:lineRule="exact"/>
        <w:ind w:left="0" w:right="20" w:firstLine="0"/>
      </w:pPr>
      <w:r>
        <w:rPr>
          <w:rStyle w:val="CharStyle12"/>
        </w:rPr>
        <w:t>Заявителю</w:t>
      </w:r>
      <w:r>
        <w:rPr>
          <w:rStyle w:val="CharStyle13"/>
        </w:rPr>
        <w:t xml:space="preserve">: </w:t>
      </w:r>
      <w:r>
        <w:rPr>
          <w:lang w:val="ru-RU" w:eastAsia="ru-RU" w:bidi="ru-RU"/>
          <w:sz w:val="24"/>
          <w:szCs w:val="24"/>
          <w:w w:val="100"/>
          <w:spacing w:val="0"/>
          <w:color w:val="000000"/>
          <w:position w:val="0"/>
        </w:rPr>
        <w:t xml:space="preserve">ООО «Монолит» 109202, г. Москва, шоссе Фрезер, дом 5/1, э подвал, пом. I, к. 1, оф.15 </w:t>
      </w:r>
      <w:r>
        <w:rPr>
          <w:lang w:val="en-US" w:eastAsia="en-US" w:bidi="en-US"/>
          <w:sz w:val="24"/>
          <w:szCs w:val="24"/>
          <w:w w:val="100"/>
          <w:spacing w:val="0"/>
          <w:color w:val="000000"/>
          <w:position w:val="0"/>
        </w:rPr>
        <w:t xml:space="preserve">E-mail: </w:t>
      </w:r>
      <w:r>
        <w:fldChar w:fldCharType="begin"/>
      </w:r>
      <w:r>
        <w:rPr>
          <w:rStyle w:val="CharStyle11"/>
        </w:rPr>
        <w:instrText> HYPERLINK "mailto:monolitsd@mail.ru" </w:instrText>
      </w:r>
      <w:r>
        <w:fldChar w:fldCharType="separate"/>
      </w:r>
      <w:r>
        <w:rPr>
          <w:rStyle w:val="Hyperlink"/>
          <w:lang w:val="en-US" w:eastAsia="en-US" w:bidi="en-US"/>
        </w:rPr>
        <w:t>monolitsd@mail.ru</w:t>
      </w:r>
      <w:r>
        <w:fldChar w:fldCharType="end"/>
      </w:r>
    </w:p>
    <w:p>
      <w:pPr>
        <w:pStyle w:val="Style9"/>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З</w:t>
      </w:r>
      <w:r>
        <w:rPr>
          <w:rStyle w:val="CharStyle11"/>
        </w:rPr>
        <w:t>аказчику</w:t>
      </w:r>
      <w:r>
        <w:rPr>
          <w:lang w:val="ru-RU" w:eastAsia="ru-RU" w:bidi="ru-RU"/>
          <w:sz w:val="24"/>
          <w:szCs w:val="24"/>
          <w:w w:val="100"/>
          <w:spacing w:val="0"/>
          <w:color w:val="000000"/>
          <w:position w:val="0"/>
        </w:rPr>
        <w:t>:</w:t>
      </w:r>
    </w:p>
    <w:p>
      <w:pPr>
        <w:pStyle w:val="Style9"/>
        <w:widowControl w:val="0"/>
        <w:keepNext w:val="0"/>
        <w:keepLines w:val="0"/>
        <w:shd w:val="clear" w:color="auto" w:fill="auto"/>
        <w:bidi w:val="0"/>
        <w:jc w:val="right"/>
        <w:spacing w:before="0" w:after="0" w:line="302" w:lineRule="exact"/>
        <w:ind w:left="0" w:right="20" w:firstLine="0"/>
      </w:pPr>
      <w:r>
        <w:rPr>
          <w:lang w:val="ru-RU" w:eastAsia="ru-RU" w:bidi="ru-RU"/>
          <w:sz w:val="24"/>
          <w:szCs w:val="24"/>
          <w:w w:val="100"/>
          <w:spacing w:val="0"/>
          <w:color w:val="000000"/>
          <w:position w:val="0"/>
        </w:rPr>
        <w:t>МКУ «Управление коммунальным хозяйством г. Орла» 302020, г. Орел, Наугорское шоссе,</w:t>
      </w:r>
    </w:p>
    <w:p>
      <w:pPr>
        <w:pStyle w:val="Style9"/>
        <w:widowControl w:val="0"/>
        <w:keepNext w:val="0"/>
        <w:keepLines w:val="0"/>
        <w:shd w:val="clear" w:color="auto" w:fill="auto"/>
        <w:bidi w:val="0"/>
        <w:jc w:val="right"/>
        <w:spacing w:before="0" w:after="0" w:line="302" w:lineRule="exact"/>
        <w:ind w:left="0" w:right="20" w:firstLine="0"/>
      </w:pPr>
      <w:r>
        <w:rPr>
          <w:lang w:val="ru-RU" w:eastAsia="ru-RU" w:bidi="ru-RU"/>
          <w:sz w:val="24"/>
          <w:szCs w:val="24"/>
          <w:w w:val="100"/>
          <w:spacing w:val="0"/>
          <w:color w:val="000000"/>
          <w:position w:val="0"/>
        </w:rPr>
        <w:t>27а</w:t>
      </w:r>
    </w:p>
    <w:p>
      <w:pPr>
        <w:pStyle w:val="Style9"/>
        <w:widowControl w:val="0"/>
        <w:keepNext w:val="0"/>
        <w:keepLines w:val="0"/>
        <w:shd w:val="clear" w:color="auto" w:fill="auto"/>
        <w:bidi w:val="0"/>
        <w:jc w:val="right"/>
        <w:spacing w:before="0" w:after="248" w:line="302" w:lineRule="exact"/>
        <w:ind w:left="0" w:right="20" w:firstLine="0"/>
      </w:pPr>
      <w:r>
        <w:rPr>
          <w:lang w:val="en-US" w:eastAsia="en-US" w:bidi="en-US"/>
          <w:sz w:val="24"/>
          <w:szCs w:val="24"/>
          <w:w w:val="100"/>
          <w:spacing w:val="0"/>
          <w:color w:val="000000"/>
          <w:position w:val="0"/>
        </w:rPr>
        <w:t xml:space="preserve">e-mail: </w:t>
      </w:r>
      <w:r>
        <w:fldChar w:fldCharType="begin"/>
      </w:r>
      <w:r>
        <w:rPr>
          <w:rStyle w:val="CharStyle11"/>
        </w:rPr>
        <w:instrText> HYPERLINK "mailto:ukhaorla@mail.ru" </w:instrText>
      </w:r>
      <w:r>
        <w:fldChar w:fldCharType="separate"/>
      </w:r>
      <w:r>
        <w:rPr>
          <w:rStyle w:val="Hyperlink"/>
          <w:lang w:val="en-US" w:eastAsia="en-US" w:bidi="en-US"/>
        </w:rPr>
        <w:t>ukhaorla@mail.ru</w:t>
      </w:r>
      <w:r>
        <w:fldChar w:fldCharType="end"/>
      </w:r>
    </w:p>
    <w:p>
      <w:pPr>
        <w:pStyle w:val="Style9"/>
        <w:widowControl w:val="0"/>
        <w:keepNext w:val="0"/>
        <w:keepLines w:val="0"/>
        <w:shd w:val="clear" w:color="auto" w:fill="auto"/>
        <w:bidi w:val="0"/>
        <w:jc w:val="right"/>
        <w:spacing w:before="0" w:after="0" w:line="293" w:lineRule="exact"/>
        <w:ind w:left="0" w:right="20" w:firstLine="0"/>
      </w:pPr>
      <w:r>
        <w:rPr>
          <w:rStyle w:val="CharStyle11"/>
        </w:rPr>
        <w:t>Уполномоченному органу:</w:t>
      </w:r>
      <w:r>
        <w:rPr>
          <w:lang w:val="ru-RU" w:eastAsia="ru-RU" w:bidi="ru-RU"/>
          <w:sz w:val="24"/>
          <w:szCs w:val="24"/>
          <w:w w:val="100"/>
          <w:spacing w:val="0"/>
          <w:color w:val="000000"/>
          <w:position w:val="0"/>
        </w:rPr>
        <w:t xml:space="preserve"> Администрации г. Орла 302000, г. Орёл, I [ролетарская гора,</w:t>
      </w:r>
    </w:p>
    <w:p>
      <w:pPr>
        <w:pStyle w:val="Style14"/>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1</w:t>
      </w:r>
    </w:p>
    <w:p>
      <w:pPr>
        <w:pStyle w:val="Style9"/>
        <w:widowControl w:val="0"/>
        <w:keepNext w:val="0"/>
        <w:keepLines w:val="0"/>
        <w:shd w:val="clear" w:color="auto" w:fill="auto"/>
        <w:bidi w:val="0"/>
        <w:jc w:val="right"/>
        <w:spacing w:before="0" w:after="236" w:line="293" w:lineRule="exact"/>
        <w:ind w:left="0" w:right="20" w:firstLine="0"/>
      </w:pPr>
      <w:r>
        <w:rPr>
          <w:lang w:val="en-US" w:eastAsia="en-US" w:bidi="en-US"/>
          <w:sz w:val="24"/>
          <w:szCs w:val="24"/>
          <w:w w:val="100"/>
          <w:spacing w:val="0"/>
          <w:color w:val="000000"/>
          <w:position w:val="0"/>
        </w:rPr>
        <w:t xml:space="preserve">e-mail: </w:t>
      </w:r>
      <w:r>
        <w:fldChar w:fldCharType="begin"/>
      </w:r>
      <w:r>
        <w:rPr>
          <w:rStyle w:val="CharStyle11"/>
        </w:rPr>
        <w:instrText> HYPERLINK "mailto:umz@orel-adm.ru" </w:instrText>
      </w:r>
      <w:r>
        <w:fldChar w:fldCharType="separate"/>
      </w:r>
      <w:r>
        <w:rPr>
          <w:rStyle w:val="Hyperlink"/>
          <w:lang w:val="en-US" w:eastAsia="en-US" w:bidi="en-US"/>
        </w:rPr>
        <w:t>umz@orel-adm.ru</w:t>
      </w:r>
      <w:r>
        <w:fldChar w:fldCharType="end"/>
      </w:r>
    </w:p>
    <w:p>
      <w:pPr>
        <w:pStyle w:val="Style9"/>
        <w:widowControl w:val="0"/>
        <w:keepNext w:val="0"/>
        <w:keepLines w:val="0"/>
        <w:shd w:val="clear" w:color="auto" w:fill="auto"/>
        <w:bidi w:val="0"/>
        <w:jc w:val="right"/>
        <w:spacing w:before="0" w:after="294" w:line="298" w:lineRule="exact"/>
        <w:ind w:left="0" w:right="20" w:firstLine="0"/>
      </w:pPr>
      <w:r>
        <w:rPr>
          <w:rStyle w:val="CharStyle11"/>
        </w:rPr>
        <w:t>Оператору ЭТП</w:t>
      </w:r>
      <w:r>
        <w:rPr>
          <w:lang w:val="ru-RU" w:eastAsia="ru-RU" w:bidi="ru-RU"/>
          <w:sz w:val="24"/>
          <w:szCs w:val="24"/>
          <w:w w:val="100"/>
          <w:spacing w:val="0"/>
          <w:color w:val="000000"/>
          <w:position w:val="0"/>
        </w:rPr>
        <w:t xml:space="preserve">: ООО «РТС-тендер » </w:t>
      </w:r>
      <w:r>
        <w:rPr>
          <w:lang w:val="en-US" w:eastAsia="en-US" w:bidi="en-US"/>
          <w:sz w:val="24"/>
          <w:szCs w:val="24"/>
          <w:w w:val="100"/>
          <w:spacing w:val="0"/>
          <w:color w:val="000000"/>
          <w:position w:val="0"/>
        </w:rPr>
        <w:t xml:space="preserve">e-mail: </w:t>
      </w:r>
      <w:r>
        <w:fldChar w:fldCharType="begin"/>
      </w:r>
      <w:r>
        <w:rPr>
          <w:rStyle w:val="CharStyle11"/>
        </w:rPr>
        <w:instrText> HYPERLINK "mailto:ko@rts-tender.ru" </w:instrText>
      </w:r>
      <w:r>
        <w:fldChar w:fldCharType="separate"/>
      </w:r>
      <w:r>
        <w:rPr>
          <w:rStyle w:val="Hyperlink"/>
          <w:lang w:val="en-US" w:eastAsia="en-US" w:bidi="en-US"/>
        </w:rPr>
        <w:t>ko@rts-tender.ru</w:t>
      </w:r>
      <w:r>
        <w:fldChar w:fldCharType="end"/>
      </w:r>
    </w:p>
    <w:p>
      <w:pPr>
        <w:pStyle w:val="Style5"/>
        <w:widowControl w:val="0"/>
        <w:keepNext w:val="0"/>
        <w:keepLines w:val="0"/>
        <w:shd w:val="clear" w:color="auto" w:fill="auto"/>
        <w:bidi w:val="0"/>
        <w:jc w:val="right"/>
        <w:spacing w:before="0" w:after="0" w:line="230" w:lineRule="exact"/>
        <w:ind w:left="0" w:right="20" w:firstLine="0"/>
        <w:sectPr>
          <w:footnotePr>
            <w:pos w:val="pageBottom"/>
            <w:numFmt w:val="decimal"/>
            <w:numRestart w:val="continuous"/>
          </w:footnotePr>
          <w:type w:val="continuous"/>
          <w:pgSz w:w="11906" w:h="16838"/>
          <w:pgMar w:top="874" w:left="1357" w:right="1295" w:bottom="903" w:header="0" w:footer="3" w:gutter="0"/>
          <w:rtlGutter w:val="0"/>
          <w:cols w:num="2" w:space="165"/>
          <w:noEndnote/>
          <w:docGrid w:linePitch="360"/>
        </w:sectPr>
      </w:pPr>
      <w:r>
        <w:rPr>
          <w:lang w:val="ru-RU" w:eastAsia="ru-RU" w:bidi="ru-RU"/>
          <w:w w:val="100"/>
          <w:color w:val="000000"/>
          <w:position w:val="0"/>
        </w:rPr>
        <w:t>(Извещение № 0154300014620000437)</w:t>
      </w:r>
    </w:p>
    <w:p>
      <w:pPr>
        <w:widowControl w:val="0"/>
        <w:spacing w:line="240" w:lineRule="exact"/>
        <w:rPr>
          <w:sz w:val="19"/>
          <w:szCs w:val="19"/>
        </w:rPr>
      </w:pPr>
    </w:p>
    <w:p>
      <w:pPr>
        <w:widowControl w:val="0"/>
        <w:spacing w:line="240" w:lineRule="exact"/>
        <w:rPr>
          <w:sz w:val="19"/>
          <w:szCs w:val="19"/>
        </w:rPr>
      </w:pP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spacing w:before="0" w:after="3" w:line="260" w:lineRule="exact"/>
        <w:ind w:left="20" w:right="0" w:firstLine="0"/>
      </w:pPr>
      <w:r>
        <w:rPr>
          <w:lang w:val="ru-RU" w:eastAsia="ru-RU" w:bidi="ru-RU"/>
          <w:w w:val="100"/>
          <w:color w:val="000000"/>
          <w:position w:val="0"/>
        </w:rPr>
        <w:t>РЕШЕНИЕ</w:t>
      </w:r>
    </w:p>
    <w:p>
      <w:pPr>
        <w:pStyle w:val="Style9"/>
        <w:widowControl w:val="0"/>
        <w:keepNext w:val="0"/>
        <w:keepLines w:val="0"/>
        <w:shd w:val="clear" w:color="auto" w:fill="auto"/>
        <w:bidi w:val="0"/>
        <w:jc w:val="both"/>
        <w:spacing w:before="0" w:after="307" w:line="240" w:lineRule="exact"/>
        <w:ind w:left="20" w:right="0" w:firstLine="680"/>
      </w:pPr>
      <w:r>
        <w:rPr>
          <w:lang w:val="ru-RU" w:eastAsia="ru-RU" w:bidi="ru-RU"/>
          <w:sz w:val="24"/>
          <w:szCs w:val="24"/>
          <w:w w:val="100"/>
          <w:spacing w:val="0"/>
          <w:color w:val="000000"/>
          <w:position w:val="0"/>
        </w:rPr>
        <w:t>по делу № 057/06/64-486/2020 о нарушении законодательства о закупках</w:t>
      </w:r>
    </w:p>
    <w:p>
      <w:pPr>
        <w:pStyle w:val="Style9"/>
        <w:tabs>
          <w:tab w:leader="none" w:pos="8698" w:val="right"/>
          <w:tab w:leader="none" w:pos="9327" w:val="right"/>
        </w:tabs>
        <w:widowControl w:val="0"/>
        <w:keepNext w:val="0"/>
        <w:keepLines w:val="0"/>
        <w:shd w:val="clear" w:color="auto" w:fill="auto"/>
        <w:bidi w:val="0"/>
        <w:jc w:val="both"/>
        <w:spacing w:before="0" w:after="268" w:line="240" w:lineRule="exact"/>
        <w:ind w:left="20" w:right="0" w:firstLine="0"/>
      </w:pPr>
      <w:r>
        <w:rPr>
          <w:lang w:val="ru-RU" w:eastAsia="ru-RU" w:bidi="ru-RU"/>
          <w:sz w:val="24"/>
          <w:szCs w:val="24"/>
          <w:w w:val="100"/>
          <w:spacing w:val="0"/>
          <w:color w:val="000000"/>
          <w:position w:val="0"/>
        </w:rPr>
        <w:t>03 августа 2020 года</w:t>
        <w:tab/>
        <w:t>г.</w:t>
        <w:tab/>
        <w:t>Орёл</w:t>
      </w:r>
    </w:p>
    <w:p>
      <w:pPr>
        <w:pStyle w:val="Style9"/>
        <w:widowControl w:val="0"/>
        <w:keepNext w:val="0"/>
        <w:keepLines w:val="0"/>
        <w:shd w:val="clear" w:color="auto" w:fill="auto"/>
        <w:bidi w:val="0"/>
        <w:jc w:val="both"/>
        <w:spacing w:before="0" w:after="0" w:line="283" w:lineRule="exact"/>
        <w:ind w:left="20" w:right="20" w:firstLine="680"/>
      </w:pPr>
      <w:r>
        <w:rPr>
          <w:lang w:val="ru-RU" w:eastAsia="ru-RU" w:bidi="ru-RU"/>
          <w:sz w:val="24"/>
          <w:szCs w:val="24"/>
          <w:w w:val="100"/>
          <w:spacing w:val="0"/>
          <w:color w:val="000000"/>
          <w:position w:val="0"/>
        </w:rPr>
        <w:t>Комиссия Орловского У ФАС России по контролю закупок (далее - Комиссия) в составе: председателя Комиссии Кирьянов А.Н., руководителя Управления; членов Комиссии: Торшипой О.А., ведущего специалиста-эксперта отдела контроля закупок и антимонопольного контроля органов власти; Шмыгиной Е.И., специалиста-эксперта отдела естественных монополий и рекламы,</w:t>
      </w:r>
    </w:p>
    <w:p>
      <w:pPr>
        <w:pStyle w:val="Style9"/>
        <w:widowControl w:val="0"/>
        <w:keepNext w:val="0"/>
        <w:keepLines w:val="0"/>
        <w:shd w:val="clear" w:color="auto" w:fill="auto"/>
        <w:bidi w:val="0"/>
        <w:jc w:val="both"/>
        <w:spacing w:before="0" w:after="0" w:line="283" w:lineRule="exact"/>
        <w:ind w:left="20" w:right="20" w:firstLine="680"/>
      </w:pPr>
      <w:r>
        <w:rPr>
          <w:lang w:val="ru-RU" w:eastAsia="ru-RU" w:bidi="ru-RU"/>
          <w:sz w:val="24"/>
          <w:szCs w:val="24"/>
          <w:w w:val="100"/>
          <w:spacing w:val="0"/>
          <w:color w:val="000000"/>
          <w:position w:val="0"/>
        </w:rPr>
        <w:t>в присутствии представителя: МКУ «УКХ г. Орла» (далее - Заказчик) Красова С.Н.,</w:t>
      </w:r>
    </w:p>
    <w:p>
      <w:pPr>
        <w:pStyle w:val="Style9"/>
        <w:widowControl w:val="0"/>
        <w:keepNext w:val="0"/>
        <w:keepLines w:val="0"/>
        <w:shd w:val="clear" w:color="auto" w:fill="auto"/>
        <w:bidi w:val="0"/>
        <w:jc w:val="left"/>
        <w:spacing w:before="0" w:after="0" w:line="293" w:lineRule="exact"/>
        <w:ind w:left="20" w:right="20" w:firstLine="680"/>
      </w:pPr>
      <w:r>
        <w:rPr>
          <w:lang w:val="ru-RU" w:eastAsia="ru-RU" w:bidi="ru-RU"/>
          <w:sz w:val="24"/>
          <w:szCs w:val="24"/>
          <w:w w:val="100"/>
          <w:spacing w:val="0"/>
          <w:color w:val="000000"/>
          <w:position w:val="0"/>
        </w:rPr>
        <w:t>администрации г. Орла (далее - Уполномоченный орган) Дерябкиной Т.Ю., представитель заявителя ООО «Монолит» (далее - Заявитель) не явился, извещен надлежаще,</w:t>
      </w:r>
    </w:p>
    <w:p>
      <w:pPr>
        <w:pStyle w:val="Style9"/>
        <w:widowControl w:val="0"/>
        <w:keepNext w:val="0"/>
        <w:keepLines w:val="0"/>
        <w:shd w:val="clear" w:color="auto" w:fill="auto"/>
        <w:bidi w:val="0"/>
        <w:jc w:val="both"/>
        <w:spacing w:before="0" w:after="0" w:line="293" w:lineRule="exact"/>
        <w:ind w:left="20" w:right="20" w:firstLine="680"/>
      </w:pPr>
      <w:r>
        <w:rPr>
          <w:lang w:val="ru-RU" w:eastAsia="ru-RU" w:bidi="ru-RU"/>
          <w:sz w:val="24"/>
          <w:szCs w:val="24"/>
          <w:w w:val="100"/>
          <w:spacing w:val="0"/>
          <w:color w:val="000000"/>
          <w:position w:val="0"/>
        </w:rPr>
        <w:t xml:space="preserve">рассмотрев посредством использования системы видеоконференцсвязи </w:t>
      </w:r>
      <w:r>
        <w:rPr>
          <w:lang w:val="en-US" w:eastAsia="en-US" w:bidi="en-US"/>
          <w:sz w:val="24"/>
          <w:szCs w:val="24"/>
          <w:w w:val="100"/>
          <w:spacing w:val="0"/>
          <w:color w:val="000000"/>
          <w:position w:val="0"/>
        </w:rPr>
        <w:t xml:space="preserve">VideoMost </w:t>
      </w:r>
      <w:r>
        <w:rPr>
          <w:lang w:val="ru-RU" w:eastAsia="ru-RU" w:bidi="ru-RU"/>
          <w:sz w:val="24"/>
          <w:szCs w:val="24"/>
          <w:w w:val="100"/>
          <w:spacing w:val="0"/>
          <w:color w:val="000000"/>
          <w:position w:val="0"/>
        </w:rPr>
        <w:t>ФАС России жалобу ООО «Монолит» на действия Заказчика по разработке документации об электронном аукционе на выполнение работ по ремонту улично- дорожной сети города Орла: ул. Октябрьская (от Волховского шоссе до ул. Пионерская и от ул. Полесская до парка Дворянское гнездо), извещение № 0154300014620000437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9"/>
        <w:widowControl w:val="0"/>
        <w:keepNext w:val="0"/>
        <w:keepLines w:val="0"/>
        <w:shd w:val="clear" w:color="auto" w:fill="auto"/>
        <w:bidi w:val="0"/>
        <w:jc w:val="left"/>
        <w:spacing w:before="0" w:after="0" w:line="293" w:lineRule="exact"/>
        <w:ind w:left="3820" w:right="0" w:firstLine="0"/>
      </w:pPr>
      <w:r>
        <w:rPr>
          <w:rStyle w:val="CharStyle18"/>
        </w:rPr>
        <w:t>УСТАНОВИЛА:</w:t>
      </w:r>
    </w:p>
    <w:p>
      <w:pPr>
        <w:pStyle w:val="Style9"/>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В жалобе Заявитель указал, что Заказчик разработал документацию об Аукционе, противоречащую требованиям Закона, а именно:</w:t>
      </w:r>
    </w:p>
    <w:p>
      <w:pPr>
        <w:pStyle w:val="Style9"/>
        <w:numPr>
          <w:ilvl w:val="0"/>
          <w:numId w:val="1"/>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По мнению Заявителя, в нарушение требований части 23 Закона в проект контракте не была включена обязанность подрядчика предоставлять информацию о всех соисполнителях,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w:t>
      </w:r>
    </w:p>
    <w:p>
      <w:pPr>
        <w:pStyle w:val="Style9"/>
        <w:numPr>
          <w:ilvl w:val="0"/>
          <w:numId w:val="1"/>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Заказчиком неправомерно установлено требование о предоставлении оригинала банковской гарантии.</w:t>
      </w:r>
    </w:p>
    <w:p>
      <w:pPr>
        <w:pStyle w:val="Style9"/>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Представители Заказчика и Уполномоченного органа считают жалобу необоснованной и пояснили следующее.</w:t>
      </w:r>
    </w:p>
    <w:p>
      <w:pPr>
        <w:pStyle w:val="Style9"/>
        <w:widowControl w:val="0"/>
        <w:keepNext w:val="0"/>
        <w:keepLines w:val="0"/>
        <w:shd w:val="clear" w:color="auto" w:fill="auto"/>
        <w:bidi w:val="0"/>
        <w:jc w:val="both"/>
        <w:spacing w:before="0" w:after="0" w:line="293" w:lineRule="exact"/>
        <w:ind w:left="20" w:right="0" w:firstLine="720"/>
      </w:pPr>
      <w:r>
        <w:rPr>
          <w:lang w:val="ru-RU" w:eastAsia="ru-RU" w:bidi="ru-RU"/>
          <w:sz w:val="24"/>
          <w:szCs w:val="24"/>
          <w:w w:val="100"/>
          <w:spacing w:val="0"/>
          <w:color w:val="000000"/>
          <w:position w:val="0"/>
        </w:rPr>
        <w:t>В результате рассмотрения жалобы Комиссия установила следующее.</w:t>
      </w:r>
    </w:p>
    <w:p>
      <w:pPr>
        <w:pStyle w:val="Style9"/>
        <w:numPr>
          <w:ilvl w:val="0"/>
          <w:numId w:val="3"/>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9"/>
        <w:numPr>
          <w:ilvl w:val="0"/>
          <w:numId w:val="5"/>
        </w:numPr>
        <w:tabs>
          <w:tab w:leader="none" w:pos="1213" w:val="left"/>
        </w:tabs>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извещение об осуществлении закупки размещено в единой информационной системе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- 16.07.2020;</w:t>
      </w:r>
    </w:p>
    <w:p>
      <w:pPr>
        <w:pStyle w:val="Style9"/>
        <w:numPr>
          <w:ilvl w:val="0"/>
          <w:numId w:val="5"/>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способ определения поставщика (подрядчика. исполнителя) - электронный аукцион;</w:t>
      </w:r>
    </w:p>
    <w:p>
      <w:pPr>
        <w:pStyle w:val="Style9"/>
        <w:numPr>
          <w:ilvl w:val="0"/>
          <w:numId w:val="5"/>
        </w:numPr>
        <w:widowControl w:val="0"/>
        <w:keepNext w:val="0"/>
        <w:keepLines w:val="0"/>
        <w:shd w:val="clear" w:color="auto" w:fill="auto"/>
        <w:bidi w:val="0"/>
        <w:jc w:val="both"/>
        <w:spacing w:before="0" w:after="0" w:line="293" w:lineRule="exact"/>
        <w:ind w:left="20" w:right="0" w:firstLine="720"/>
      </w:pPr>
      <w:r>
        <w:rPr>
          <w:lang w:val="ru-RU" w:eastAsia="ru-RU" w:bidi="ru-RU"/>
          <w:sz w:val="24"/>
          <w:szCs w:val="24"/>
          <w:w w:val="100"/>
          <w:spacing w:val="0"/>
          <w:color w:val="000000"/>
          <w:position w:val="0"/>
        </w:rPr>
        <w:t xml:space="preserve"> начальная (максимальная) цена контракта - 116 073 893,00 рублей;</w:t>
      </w:r>
    </w:p>
    <w:p>
      <w:pPr>
        <w:pStyle w:val="Style9"/>
        <w:numPr>
          <w:ilvl w:val="0"/>
          <w:numId w:val="5"/>
        </w:numPr>
        <w:widowControl w:val="0"/>
        <w:keepNext w:val="0"/>
        <w:keepLines w:val="0"/>
        <w:shd w:val="clear" w:color="auto" w:fill="auto"/>
        <w:bidi w:val="0"/>
        <w:jc w:val="both"/>
        <w:spacing w:before="0" w:after="0" w:line="293" w:lineRule="exact"/>
        <w:ind w:left="20" w:right="0" w:firstLine="720"/>
      </w:pPr>
      <w:r>
        <w:rPr>
          <w:lang w:val="ru-RU" w:eastAsia="ru-RU" w:bidi="ru-RU"/>
          <w:sz w:val="24"/>
          <w:szCs w:val="24"/>
          <w:w w:val="100"/>
          <w:spacing w:val="0"/>
          <w:color w:val="000000"/>
          <w:position w:val="0"/>
        </w:rPr>
        <w:t xml:space="preserve"> дата проведения Аукциона - 30.07.2020;</w:t>
      </w:r>
    </w:p>
    <w:p>
      <w:pPr>
        <w:pStyle w:val="Style9"/>
        <w:numPr>
          <w:ilvl w:val="0"/>
          <w:numId w:val="5"/>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на участие в Аукционе была подана одна заявка, которая была признана соответствующей, Аукцион признан несостоявшимся на основании части 16 статьи 66 Закона.</w:t>
      </w:r>
    </w:p>
    <w:p>
      <w:pPr>
        <w:pStyle w:val="Style9"/>
        <w:numPr>
          <w:ilvl w:val="0"/>
          <w:numId w:val="3"/>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Указанная закупка проводится в рамках национального проекта «Программа комплексного развития объединенной дорожной сети Орловской области, а также Орловской городской агломерации на 2019-2024 годы» национального проекта «Безопасные и качественные автомобильные дороги».</w:t>
      </w:r>
    </w:p>
    <w:p>
      <w:pPr>
        <w:pStyle w:val="Style9"/>
        <w:numPr>
          <w:ilvl w:val="0"/>
          <w:numId w:val="3"/>
        </w:numPr>
        <w:widowControl w:val="0"/>
        <w:keepNext w:val="0"/>
        <w:keepLines w:val="0"/>
        <w:shd w:val="clear" w:color="auto" w:fill="auto"/>
        <w:bidi w:val="0"/>
        <w:jc w:val="both"/>
        <w:spacing w:before="0" w:after="0" w:line="293" w:lineRule="exact"/>
        <w:ind w:left="20" w:right="0" w:firstLine="720"/>
      </w:pPr>
      <w:r>
        <w:rPr>
          <w:lang w:val="ru-RU" w:eastAsia="ru-RU" w:bidi="ru-RU"/>
          <w:sz w:val="24"/>
          <w:szCs w:val="24"/>
          <w:w w:val="100"/>
          <w:spacing w:val="0"/>
          <w:color w:val="000000"/>
          <w:position w:val="0"/>
        </w:rPr>
        <w:t xml:space="preserve"> По доводам, изложенным в жалобе:</w:t>
      </w:r>
    </w:p>
    <w:p>
      <w:pPr>
        <w:pStyle w:val="Style9"/>
        <w:numPr>
          <w:ilvl w:val="1"/>
          <w:numId w:val="3"/>
        </w:numPr>
        <w:tabs>
          <w:tab w:leader="none" w:pos="1226" w:val="left"/>
        </w:tabs>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В соответствии с </w:t>
      </w:r>
      <w:r>
        <w:rPr>
          <w:rStyle w:val="CharStyle11"/>
        </w:rPr>
        <w:t>частью 23 статьи 34</w:t>
      </w:r>
      <w:r>
        <w:rPr>
          <w:lang w:val="ru-RU" w:eastAsia="ru-RU" w:bidi="ru-RU"/>
          <w:sz w:val="24"/>
          <w:szCs w:val="24"/>
          <w:w w:val="100"/>
          <w:spacing w:val="0"/>
          <w:color w:val="000000"/>
          <w:position w:val="0"/>
        </w:rPr>
        <w:t xml:space="preserve"> Закона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В силу </w:t>
      </w:r>
      <w:r>
        <w:rPr>
          <w:rStyle w:val="CharStyle11"/>
        </w:rPr>
        <w:t>части 24 статьи 34</w:t>
      </w:r>
      <w:r>
        <w:rPr>
          <w:lang w:val="ru-RU" w:eastAsia="ru-RU" w:bidi="ru-RU"/>
          <w:sz w:val="24"/>
          <w:szCs w:val="24"/>
          <w:w w:val="100"/>
          <w:spacing w:val="0"/>
          <w:color w:val="000000"/>
          <w:position w:val="0"/>
        </w:rPr>
        <w:t xml:space="preserve"> Закона информация, указанная в </w:t>
      </w:r>
      <w:r>
        <w:rPr>
          <w:rStyle w:val="CharStyle11"/>
        </w:rPr>
        <w:t>статье 23</w:t>
      </w:r>
      <w:r>
        <w:rPr>
          <w:lang w:val="ru-RU" w:eastAsia="ru-RU" w:bidi="ru-RU"/>
          <w:sz w:val="24"/>
          <w:szCs w:val="24"/>
          <w:w w:val="100"/>
          <w:spacing w:val="0"/>
          <w:color w:val="000000"/>
          <w:position w:val="0"/>
        </w:rPr>
        <w:t xml:space="preserve"> настоящего закона,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pPr>
        <w:pStyle w:val="Style9"/>
        <w:widowControl w:val="0"/>
        <w:keepNext w:val="0"/>
        <w:keepLines w:val="0"/>
        <w:shd w:val="clear" w:color="auto" w:fill="auto"/>
        <w:bidi w:val="0"/>
        <w:jc w:val="both"/>
        <w:spacing w:before="0" w:after="0" w:line="293" w:lineRule="exact"/>
        <w:ind w:left="20" w:right="20" w:firstLine="700"/>
      </w:pPr>
      <w:r>
        <w:rPr>
          <w:rStyle w:val="CharStyle11"/>
        </w:rPr>
        <w:t>Постановление</w:t>
      </w:r>
      <w:r>
        <w:rPr>
          <w:lang w:val="ru-RU" w:eastAsia="ru-RU" w:bidi="ru-RU"/>
          <w:sz w:val="24"/>
          <w:szCs w:val="24"/>
          <w:w w:val="100"/>
          <w:spacing w:val="0"/>
          <w:color w:val="000000"/>
          <w:position w:val="0"/>
        </w:rPr>
        <w:t xml:space="preserve"> Правительства РФ от 04.09.2013 г.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устанавливает следующие размеры начальной (максимальной) цены контракта, при превышении которых в контракте должна быть указана обязанность поставщика (подрядчика, исполнителя) предоставлять информацию обо всех соисполнителях, субподрядчиках, заключивших договор или договоры с поставщиком (подрядчиком, исполнителем), цена которого или общая цепа которых составляет более чем 10 процентов цены контракта:</w:t>
      </w:r>
    </w:p>
    <w:p>
      <w:pPr>
        <w:pStyle w:val="Style9"/>
        <w:numPr>
          <w:ilvl w:val="0"/>
          <w:numId w:val="7"/>
        </w:numPr>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 xml:space="preserve"> 1 млрд. рублей - при осуществлении закупки для обеспечения федеральных</w:t>
      </w:r>
    </w:p>
    <w:p>
      <w:pPr>
        <w:pStyle w:val="Style9"/>
        <w:widowControl w:val="0"/>
        <w:keepNext w:val="0"/>
        <w:keepLines w:val="0"/>
        <w:shd w:val="clear" w:color="auto" w:fill="auto"/>
        <w:bidi w:val="0"/>
        <w:jc w:val="both"/>
        <w:spacing w:before="0" w:after="0" w:line="293" w:lineRule="exact"/>
        <w:ind w:left="20" w:right="0" w:firstLine="0"/>
      </w:pPr>
      <w:r>
        <w:rPr>
          <w:lang w:val="ru-RU" w:eastAsia="ru-RU" w:bidi="ru-RU"/>
          <w:sz w:val="24"/>
          <w:szCs w:val="24"/>
          <w:w w:val="100"/>
          <w:spacing w:val="0"/>
          <w:color w:val="000000"/>
          <w:position w:val="0"/>
        </w:rPr>
        <w:t>нужд;</w:t>
      </w:r>
    </w:p>
    <w:p>
      <w:pPr>
        <w:pStyle w:val="Style9"/>
        <w:numPr>
          <w:ilvl w:val="0"/>
          <w:numId w:val="7"/>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100 млн. рублей - при осуществлении закупки для обеспечения нужд субъекта Российской Федерации и муниципальных нужд.</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Согласно извещению о проведении электронного аукциона, ЫМЦК данного контракта составляет 116 073 893,00 рублей. Следовательно, данная закупка подпадает под действие </w:t>
      </w:r>
      <w:r>
        <w:rPr>
          <w:rStyle w:val="CharStyle11"/>
        </w:rPr>
        <w:t>частей 23</w:t>
      </w:r>
      <w:r>
        <w:rPr>
          <w:lang w:val="ru-RU" w:eastAsia="ru-RU" w:bidi="ru-RU"/>
          <w:sz w:val="24"/>
          <w:szCs w:val="24"/>
          <w:w w:val="100"/>
          <w:spacing w:val="0"/>
          <w:color w:val="000000"/>
          <w:position w:val="0"/>
        </w:rPr>
        <w:t xml:space="preserve">. </w:t>
      </w:r>
      <w:r>
        <w:rPr>
          <w:rStyle w:val="CharStyle11"/>
        </w:rPr>
        <w:t>24 статьи 34</w:t>
      </w:r>
      <w:r>
        <w:rPr>
          <w:lang w:val="ru-RU" w:eastAsia="ru-RU" w:bidi="ru-RU"/>
          <w:sz w:val="24"/>
          <w:szCs w:val="24"/>
          <w:w w:val="100"/>
          <w:spacing w:val="0"/>
          <w:color w:val="000000"/>
          <w:position w:val="0"/>
        </w:rPr>
        <w:t xml:space="preserve"> Закона.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Исходя из вышеперечисленного, Комиссия Орловского У ФАС России приходит к выводу, что в действиях Заказчика имеются признаки нарушения </w:t>
      </w:r>
      <w:r>
        <w:rPr>
          <w:rStyle w:val="CharStyle11"/>
        </w:rPr>
        <w:t>частей 23</w:t>
      </w:r>
      <w:r>
        <w:rPr>
          <w:lang w:val="ru-RU" w:eastAsia="ru-RU" w:bidi="ru-RU"/>
          <w:sz w:val="24"/>
          <w:szCs w:val="24"/>
          <w:w w:val="100"/>
          <w:spacing w:val="0"/>
          <w:color w:val="000000"/>
          <w:position w:val="0"/>
        </w:rPr>
        <w:t xml:space="preserve">. </w:t>
      </w:r>
      <w:r>
        <w:rPr>
          <w:rStyle w:val="CharStyle11"/>
        </w:rPr>
        <w:t>24 статьи 34 Закона</w:t>
      </w:r>
      <w:r>
        <w:rPr>
          <w:lang w:val="ru-RU" w:eastAsia="ru-RU" w:bidi="ru-RU"/>
          <w:sz w:val="24"/>
          <w:szCs w:val="24"/>
          <w:w w:val="100"/>
          <w:spacing w:val="0"/>
          <w:color w:val="000000"/>
          <w:position w:val="0"/>
        </w:rPr>
        <w:t>, ответственность за которое предусмотрена частью 4.2 статьи 7.30 Кодекса Российской Федерации об административных правонарушениях (далее - КоАП РФ).</w:t>
      </w:r>
    </w:p>
    <w:p>
      <w:pPr>
        <w:pStyle w:val="Style9"/>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Довод жалобы признается обоснованным.</w:t>
      </w:r>
    </w:p>
    <w:p>
      <w:pPr>
        <w:pStyle w:val="Style9"/>
        <w:numPr>
          <w:ilvl w:val="1"/>
          <w:numId w:val="3"/>
        </w:numPr>
        <w:tabs>
          <w:tab w:leader="none" w:pos="1321" w:val="left"/>
        </w:tabs>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Согласно </w:t>
      </w:r>
      <w:r>
        <w:rPr>
          <w:rStyle w:val="CharStyle11"/>
        </w:rPr>
        <w:t>пункту 8 части 1 статьи 64</w:t>
      </w:r>
      <w:r>
        <w:rPr>
          <w:lang w:val="ru-RU" w:eastAsia="ru-RU" w:bidi="ru-RU"/>
          <w:sz w:val="24"/>
          <w:szCs w:val="24"/>
          <w:w w:val="100"/>
          <w:spacing w:val="0"/>
          <w:color w:val="000000"/>
          <w:position w:val="0"/>
        </w:rPr>
        <w:t xml:space="preserve"> Закона документация об электронном аукционе наряду с информацией, указанной в извещении о проведении такого аукциона, должна содержать, размер обеспечения исполнения контракта, срок и порядок предоставления указанного обеспечения, требования к обеспечению исполнения контракта.</w:t>
      </w:r>
    </w:p>
    <w:p>
      <w:pPr>
        <w:pStyle w:val="Style9"/>
        <w:widowControl w:val="0"/>
        <w:keepNext w:val="0"/>
        <w:keepLines w:val="0"/>
        <w:shd w:val="clear" w:color="auto" w:fill="auto"/>
        <w:bidi w:val="0"/>
        <w:jc w:val="both"/>
        <w:spacing w:before="0" w:after="0" w:line="293" w:lineRule="exact"/>
        <w:ind w:left="20" w:right="20" w:firstLine="700"/>
      </w:pPr>
      <w:r>
        <w:rPr>
          <w:rStyle w:val="CharStyle11"/>
        </w:rPr>
        <w:t>Частью 4 статьи 64</w:t>
      </w:r>
      <w:r>
        <w:rPr>
          <w:lang w:val="ru-RU" w:eastAsia="ru-RU" w:bidi="ru-RU"/>
          <w:sz w:val="24"/>
          <w:szCs w:val="24"/>
          <w:w w:val="100"/>
          <w:spacing w:val="0"/>
          <w:color w:val="000000"/>
          <w:position w:val="0"/>
        </w:rPr>
        <w:t xml:space="preserve"> Закона установлено, что к документации об электронном аукционе прилагается проект контракта, который является неотъемлемой частью этой документации.</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В силу </w:t>
      </w:r>
      <w:r>
        <w:rPr>
          <w:rStyle w:val="CharStyle11"/>
        </w:rPr>
        <w:t>части 4 статьи 96</w:t>
      </w:r>
      <w:r>
        <w:rPr>
          <w:lang w:val="ru-RU" w:eastAsia="ru-RU" w:bidi="ru-RU"/>
          <w:sz w:val="24"/>
          <w:szCs w:val="24"/>
          <w:w w:val="100"/>
          <w:spacing w:val="0"/>
          <w:color w:val="000000"/>
          <w:position w:val="0"/>
        </w:rPr>
        <w:t xml:space="preserve"> Закона контракт заключается после предоставления участником закупки, с которым заключается контракт, обеспечения исполнения контракта в соответствии с Федеральным </w:t>
      </w:r>
      <w:r>
        <w:rPr>
          <w:rStyle w:val="CharStyle11"/>
        </w:rPr>
        <w:t>законом</w:t>
      </w:r>
      <w:r>
        <w:rPr>
          <w:lang w:val="ru-RU" w:eastAsia="ru-RU" w:bidi="ru-RU"/>
          <w:sz w:val="24"/>
          <w:szCs w:val="24"/>
          <w:w w:val="100"/>
          <w:spacing w:val="0"/>
          <w:color w:val="000000"/>
          <w:position w:val="0"/>
        </w:rPr>
        <w:t xml:space="preserve">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w:t>
      </w:r>
    </w:p>
    <w:p>
      <w:pPr>
        <w:pStyle w:val="Style9"/>
        <w:tabs>
          <w:tab w:leader="none" w:pos="2511" w:val="left"/>
          <w:tab w:leader="none" w:pos="9356" w:val="right"/>
        </w:tabs>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При этом в соответствии с </w:t>
      </w:r>
      <w:r>
        <w:rPr>
          <w:rStyle w:val="CharStyle11"/>
        </w:rPr>
        <w:t>частью 3 статьи 83.2</w:t>
      </w:r>
      <w:r>
        <w:rPr>
          <w:lang w:val="ru-RU" w:eastAsia="ru-RU" w:bidi="ru-RU"/>
          <w:sz w:val="24"/>
          <w:szCs w:val="24"/>
          <w:w w:val="100"/>
          <w:spacing w:val="0"/>
          <w:color w:val="000000"/>
          <w:position w:val="0"/>
        </w:rPr>
        <w:t xml:space="preserve"> Закона документ, подтверждающий</w:t>
        <w:tab/>
        <w:t>обеспечение</w:t>
        <w:tab/>
        <w:t>исполнения контракта, предоставляется</w:t>
      </w:r>
    </w:p>
    <w:p>
      <w:pPr>
        <w:pStyle w:val="Style9"/>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победителем закупки одновременно с подписанным усиленной электронной подписью на электронной площадке проектом контракта.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Заказчиком в пункте 5.1.2 проекта контракта, являющегося неотъемлемой частью аукционной документации, установлена установлено, что «В течение 2-х дней с момента подписания Контракта представить Заказчику:</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оригинал документа об обеспечении исполнения Контракта (безотзывная банковская гарантия, выданная банком или платежное поручение о внесении денежных средств на счет, указанный Заказчиком)».</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Согласно </w:t>
      </w:r>
      <w:r>
        <w:rPr>
          <w:rStyle w:val="CharStyle11"/>
        </w:rPr>
        <w:t>части 1 статьи 96</w:t>
      </w:r>
      <w:r>
        <w:rPr>
          <w:lang w:val="ru-RU" w:eastAsia="ru-RU" w:bidi="ru-RU"/>
          <w:sz w:val="24"/>
          <w:szCs w:val="24"/>
          <w:w w:val="100"/>
          <w:spacing w:val="0"/>
          <w:color w:val="000000"/>
          <w:position w:val="0"/>
        </w:rPr>
        <w:t xml:space="preserve"> Закона Заказчиком, за исключением случаев, предусмотренных </w:t>
      </w:r>
      <w:r>
        <w:rPr>
          <w:rStyle w:val="CharStyle11"/>
        </w:rPr>
        <w:t>частью 2</w:t>
      </w:r>
      <w:r>
        <w:rPr>
          <w:lang w:val="ru-RU" w:eastAsia="ru-RU" w:bidi="ru-RU"/>
          <w:sz w:val="24"/>
          <w:szCs w:val="24"/>
          <w:w w:val="100"/>
          <w:spacing w:val="0"/>
          <w:color w:val="000000"/>
          <w:position w:val="0"/>
        </w:rPr>
        <w:t xml:space="preserve"> настоящей статьи,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В соответствии с </w:t>
      </w:r>
      <w:r>
        <w:rPr>
          <w:rStyle w:val="CharStyle11"/>
        </w:rPr>
        <w:t>частью 3 статьи 96</w:t>
      </w:r>
      <w:r>
        <w:rPr>
          <w:lang w:val="ru-RU" w:eastAsia="ru-RU" w:bidi="ru-RU"/>
          <w:sz w:val="24"/>
          <w:szCs w:val="24"/>
          <w:w w:val="100"/>
          <w:spacing w:val="0"/>
          <w:color w:val="000000"/>
          <w:position w:val="0"/>
        </w:rPr>
        <w:t xml:space="preserve"> Закона исполнение контракта, гарантийные обязательства могут обеспечиваться предоставлением банковской гарантии, выданной банком и соответствующей </w:t>
      </w:r>
      <w:r>
        <w:rPr>
          <w:rStyle w:val="CharStyle11"/>
        </w:rPr>
        <w:t>требованиям статьи 45</w:t>
      </w:r>
      <w:r>
        <w:rPr>
          <w:lang w:val="ru-RU" w:eastAsia="ru-RU" w:bidi="ru-RU"/>
          <w:sz w:val="24"/>
          <w:szCs w:val="24"/>
          <w:w w:val="100"/>
          <w:spacing w:val="0"/>
          <w:color w:val="000000"/>
          <w:position w:val="0"/>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r>
        <w:rPr>
          <w:rStyle w:val="CharStyle11"/>
        </w:rPr>
        <w:t>статьей 95</w:t>
      </w:r>
      <w:r>
        <w:rPr>
          <w:lang w:val="ru-RU" w:eastAsia="ru-RU" w:bidi="ru-RU"/>
          <w:sz w:val="24"/>
          <w:szCs w:val="24"/>
          <w:w w:val="100"/>
          <w:spacing w:val="0"/>
          <w:color w:val="000000"/>
          <w:position w:val="0"/>
        </w:rPr>
        <w:t xml:space="preserve"> настоящего Федерального закона.</w:t>
      </w:r>
    </w:p>
    <w:p>
      <w:pPr>
        <w:pStyle w:val="Style9"/>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 xml:space="preserve">Требования к банковской гарантии установлены </w:t>
      </w:r>
      <w:r>
        <w:rPr>
          <w:rStyle w:val="CharStyle11"/>
        </w:rPr>
        <w:t>статьей 45</w:t>
      </w:r>
      <w:r>
        <w:rPr>
          <w:lang w:val="ru-RU" w:eastAsia="ru-RU" w:bidi="ru-RU"/>
          <w:sz w:val="24"/>
          <w:szCs w:val="24"/>
          <w:w w:val="100"/>
          <w:spacing w:val="0"/>
          <w:color w:val="000000"/>
          <w:position w:val="0"/>
        </w:rPr>
        <w:t xml:space="preserve"> Закона.</w:t>
      </w:r>
    </w:p>
    <w:p>
      <w:pPr>
        <w:pStyle w:val="Style9"/>
        <w:widowControl w:val="0"/>
        <w:keepNext w:val="0"/>
        <w:keepLines w:val="0"/>
        <w:shd w:val="clear" w:color="auto" w:fill="auto"/>
        <w:bidi w:val="0"/>
        <w:jc w:val="both"/>
        <w:spacing w:before="0" w:after="0" w:line="293" w:lineRule="exact"/>
        <w:ind w:left="20" w:right="20" w:firstLine="700"/>
      </w:pPr>
      <w:r>
        <w:rPr>
          <w:rStyle w:val="CharStyle11"/>
        </w:rPr>
        <w:t>Частью 1 статьи 45</w:t>
      </w:r>
      <w:r>
        <w:rPr>
          <w:lang w:val="ru-RU" w:eastAsia="ru-RU" w:bidi="ru-RU"/>
          <w:sz w:val="24"/>
          <w:szCs w:val="24"/>
          <w:w w:val="100"/>
          <w:spacing w:val="0"/>
          <w:color w:val="000000"/>
          <w:position w:val="0"/>
        </w:rPr>
        <w:t xml:space="preserve"> Закона предусмотрено, что заказчики в качестве обеспечения заявок, исполнения контрактов, гарантийных обязательств принимают банковские гарантии, выданные банками, соответствующие требованиям, установленным Правительством Российской Федерации, и включенными в перечень, предусмотренный </w:t>
      </w:r>
      <w:r>
        <w:rPr>
          <w:rStyle w:val="CharStyle11"/>
        </w:rPr>
        <w:t>частью 1.2 статьи 45</w:t>
      </w:r>
      <w:r>
        <w:rPr>
          <w:lang w:val="ru-RU" w:eastAsia="ru-RU" w:bidi="ru-RU"/>
          <w:sz w:val="24"/>
          <w:szCs w:val="24"/>
          <w:w w:val="100"/>
          <w:spacing w:val="0"/>
          <w:color w:val="000000"/>
          <w:position w:val="0"/>
        </w:rPr>
        <w:t xml:space="preserve"> Закона.</w:t>
      </w:r>
    </w:p>
    <w:p>
      <w:pPr>
        <w:pStyle w:val="Style9"/>
        <w:widowControl w:val="0"/>
        <w:keepNext w:val="0"/>
        <w:keepLines w:val="0"/>
        <w:shd w:val="clear" w:color="auto" w:fill="auto"/>
        <w:bidi w:val="0"/>
        <w:jc w:val="both"/>
        <w:spacing w:before="0" w:after="0" w:line="293" w:lineRule="exact"/>
        <w:ind w:left="20" w:right="20" w:firstLine="700"/>
      </w:pPr>
      <w:r>
        <w:rPr>
          <w:rStyle w:val="CharStyle11"/>
        </w:rPr>
        <w:t>Частью 2 статьи 45</w:t>
      </w:r>
      <w:r>
        <w:rPr>
          <w:lang w:val="ru-RU" w:eastAsia="ru-RU" w:bidi="ru-RU"/>
          <w:sz w:val="24"/>
          <w:szCs w:val="24"/>
          <w:w w:val="100"/>
          <w:spacing w:val="0"/>
          <w:color w:val="000000"/>
          <w:position w:val="0"/>
        </w:rPr>
        <w:t xml:space="preserve"> Закона установлено, что банковская гарантия должна быть безотзывной и должна содержать:</w:t>
      </w:r>
    </w:p>
    <w:p>
      <w:pPr>
        <w:pStyle w:val="Style9"/>
        <w:numPr>
          <w:ilvl w:val="0"/>
          <w:numId w:val="9"/>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сумму банковской гарантии, подлежащую уплате гарантом заказчику в установленных </w:t>
      </w:r>
      <w:r>
        <w:rPr>
          <w:rStyle w:val="CharStyle11"/>
        </w:rPr>
        <w:t>частью 15 статьи 44</w:t>
      </w:r>
      <w:r>
        <w:rPr>
          <w:lang w:val="ru-RU" w:eastAsia="ru-RU" w:bidi="ru-RU"/>
          <w:sz w:val="24"/>
          <w:szCs w:val="24"/>
          <w:w w:val="100"/>
          <w:spacing w:val="0"/>
          <w:color w:val="000000"/>
          <w:position w:val="0"/>
        </w:rPr>
        <w:t xml:space="preserve">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r>
        <w:rPr>
          <w:rStyle w:val="CharStyle11"/>
        </w:rPr>
        <w:t>статьей 96</w:t>
      </w:r>
      <w:r>
        <w:rPr>
          <w:lang w:val="ru-RU" w:eastAsia="ru-RU" w:bidi="ru-RU"/>
          <w:sz w:val="24"/>
          <w:szCs w:val="24"/>
          <w:w w:val="100"/>
          <w:spacing w:val="0"/>
          <w:color w:val="000000"/>
          <w:position w:val="0"/>
        </w:rPr>
        <w:t xml:space="preserve"> Закона;</w:t>
      </w:r>
    </w:p>
    <w:p>
      <w:pPr>
        <w:pStyle w:val="Style9"/>
        <w:numPr>
          <w:ilvl w:val="0"/>
          <w:numId w:val="9"/>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обязательства принципала, надлежащее исполнение которых обеспечивается банковской гарантией;</w:t>
      </w:r>
    </w:p>
    <w:p>
      <w:pPr>
        <w:pStyle w:val="Style9"/>
        <w:numPr>
          <w:ilvl w:val="0"/>
          <w:numId w:val="9"/>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обязанность гаранта уплатить заказчику неустойку в размере 0,1 процента денежной суммы, подлежащей уплате, за каждый день просрочки;</w:t>
      </w:r>
    </w:p>
    <w:p>
      <w:pPr>
        <w:pStyle w:val="Style9"/>
        <w:numPr>
          <w:ilvl w:val="0"/>
          <w:numId w:val="9"/>
        </w:numPr>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 xml:space="preserve">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9"/>
        <w:numPr>
          <w:ilvl w:val="0"/>
          <w:numId w:val="9"/>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срок действия банковской гарантии с учетом требований </w:t>
      </w:r>
      <w:r>
        <w:rPr>
          <w:rStyle w:val="CharStyle11"/>
        </w:rPr>
        <w:t>статей 44</w:t>
      </w:r>
      <w:r>
        <w:rPr>
          <w:lang w:val="ru-RU" w:eastAsia="ru-RU" w:bidi="ru-RU"/>
          <w:sz w:val="24"/>
          <w:szCs w:val="24"/>
          <w:w w:val="100"/>
          <w:spacing w:val="0"/>
          <w:color w:val="000000"/>
          <w:position w:val="0"/>
        </w:rPr>
        <w:t xml:space="preserve"> и </w:t>
      </w:r>
      <w:r>
        <w:rPr>
          <w:rStyle w:val="CharStyle11"/>
        </w:rPr>
        <w:t>96</w:t>
      </w:r>
      <w:r>
        <w:rPr>
          <w:lang w:val="ru-RU" w:eastAsia="ru-RU" w:bidi="ru-RU"/>
          <w:sz w:val="24"/>
          <w:szCs w:val="24"/>
          <w:w w:val="100"/>
          <w:spacing w:val="0"/>
          <w:color w:val="000000"/>
          <w:position w:val="0"/>
        </w:rPr>
        <w:t xml:space="preserve"> Закона;</w:t>
      </w:r>
    </w:p>
    <w:p>
      <w:pPr>
        <w:pStyle w:val="Style9"/>
        <w:numPr>
          <w:ilvl w:val="0"/>
          <w:numId w:val="9"/>
        </w:numPr>
        <w:widowControl w:val="0"/>
        <w:keepNext w:val="0"/>
        <w:keepLines w:val="0"/>
        <w:shd w:val="clear" w:color="auto" w:fill="auto"/>
        <w:bidi w:val="0"/>
        <w:jc w:val="both"/>
        <w:spacing w:before="0" w:after="0" w:line="283" w:lineRule="exact"/>
        <w:ind w:left="20" w:right="20" w:firstLine="700"/>
      </w:pPr>
      <w:r>
        <w:rPr>
          <w:lang w:val="ru-RU" w:eastAsia="ru-RU" w:bidi="ru-RU"/>
          <w:sz w:val="24"/>
          <w:szCs w:val="24"/>
          <w:w w:val="100"/>
          <w:spacing w:val="0"/>
          <w:color w:val="000000"/>
          <w:position w:val="0"/>
        </w:rPr>
        <w:t xml:space="preserve">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pPr>
        <w:pStyle w:val="Style9"/>
        <w:numPr>
          <w:ilvl w:val="0"/>
          <w:numId w:val="9"/>
        </w:numPr>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spacing w:val="0"/>
          <w:color w:val="000000"/>
          <w:position w:val="0"/>
        </w:rPr>
        <w:t xml:space="preserve">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pPr>
        <w:pStyle w:val="Style9"/>
        <w:widowControl w:val="0"/>
        <w:keepNext w:val="0"/>
        <w:keepLines w:val="0"/>
        <w:shd w:val="clear" w:color="auto" w:fill="auto"/>
        <w:bidi w:val="0"/>
        <w:jc w:val="both"/>
        <w:spacing w:before="0" w:after="0" w:line="293" w:lineRule="exact"/>
        <w:ind w:left="20" w:right="20" w:firstLine="700"/>
      </w:pPr>
      <w:r>
        <w:rPr>
          <w:rStyle w:val="CharStyle11"/>
        </w:rPr>
        <w:t>Постановлением</w:t>
      </w:r>
      <w:r>
        <w:rPr>
          <w:lang w:val="ru-RU" w:eastAsia="ru-RU" w:bidi="ru-RU"/>
          <w:sz w:val="24"/>
          <w:szCs w:val="24"/>
          <w:w w:val="100"/>
          <w:spacing w:val="0"/>
          <w:color w:val="000000"/>
          <w:position w:val="0"/>
        </w:rPr>
        <w:t xml:space="preserve"> Правительства РФ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 1005) утверждены, в том числе, дополнительные требования к банковской гарантии, используемой для целей Федерального </w:t>
      </w:r>
      <w:r>
        <w:rPr>
          <w:rStyle w:val="CharStyle11"/>
        </w:rPr>
        <w:t>закона</w:t>
      </w:r>
      <w:r>
        <w:rPr>
          <w:lang w:val="ru-RU" w:eastAsia="ru-RU" w:bidi="ru-RU"/>
          <w:sz w:val="24"/>
          <w:szCs w:val="24"/>
          <w:w w:val="100"/>
          <w:spacing w:val="0"/>
          <w:color w:val="000000"/>
          <w:position w:val="0"/>
        </w:rPr>
        <w:t xml:space="preserve"> «О контрактной системе в сфере закупок товаров, работ, услуг для обеспечения государственных и муниципальных нужд» (далее - Дополнительные требования), а также перечень документов, представляемых заказчиком банку одновременно с требованием об осуществлении уплаты денежной суммы по банковской гарантии (далее - Перечень).</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В соответствии с Дополнительными требованиями следует, что банковская гарантия оформляется в письменной форме на бумажном носителе или в форме электронного документа, подписанного электронной подписью, вид которой предусмотрен Законом, лица, имеющего право действовать от имени банка, на условиях, определенных гражданским законодательством и </w:t>
      </w:r>
      <w:r>
        <w:rPr>
          <w:rStyle w:val="CharStyle11"/>
        </w:rPr>
        <w:t>статьей 45</w:t>
      </w:r>
      <w:r>
        <w:rPr>
          <w:lang w:val="ru-RU" w:eastAsia="ru-RU" w:bidi="ru-RU"/>
          <w:sz w:val="24"/>
          <w:szCs w:val="24"/>
          <w:w w:val="100"/>
          <w:spacing w:val="0"/>
          <w:color w:val="000000"/>
          <w:position w:val="0"/>
        </w:rPr>
        <w:t xml:space="preserve"> Закона.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При этом Перечень является исчерпывающим и не предусматривает представление бенефициаром оригинала банковской гарантии.</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Понятие электронного документа содержится в </w:t>
      </w:r>
      <w:r>
        <w:rPr>
          <w:rStyle w:val="CharStyle11"/>
        </w:rPr>
        <w:t>пункте 11.1 статьи 2</w:t>
      </w:r>
      <w:r>
        <w:rPr>
          <w:lang w:val="ru-RU" w:eastAsia="ru-RU" w:bidi="ru-RU"/>
          <w:sz w:val="24"/>
          <w:szCs w:val="24"/>
          <w:w w:val="100"/>
          <w:spacing w:val="0"/>
          <w:color w:val="000000"/>
          <w:position w:val="0"/>
        </w:rPr>
        <w:t xml:space="preserve"> Федерального закона от 27.07.2006 № 149-ФЗ «Об информации, информационных технологиях и о защите информации» (далее - Федеральный закон от 27.07.2006 № 149-ФЗ), под которым понимается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при этом Федеральный </w:t>
      </w:r>
      <w:r>
        <w:rPr>
          <w:rStyle w:val="CharStyle11"/>
        </w:rPr>
        <w:t>закон</w:t>
      </w:r>
      <w:r>
        <w:rPr>
          <w:lang w:val="ru-RU" w:eastAsia="ru-RU" w:bidi="ru-RU"/>
          <w:sz w:val="24"/>
          <w:szCs w:val="24"/>
          <w:w w:val="100"/>
          <w:spacing w:val="0"/>
          <w:color w:val="000000"/>
          <w:position w:val="0"/>
        </w:rPr>
        <w:t xml:space="preserve"> от 27.07.2006 № 149-ФЗ понятие оригинала и копии электронного документа не определено.</w:t>
      </w:r>
    </w:p>
    <w:p>
      <w:pPr>
        <w:pStyle w:val="Style9"/>
        <w:widowControl w:val="0"/>
        <w:keepNext w:val="0"/>
        <w:keepLines w:val="0"/>
        <w:shd w:val="clear" w:color="auto" w:fill="auto"/>
        <w:bidi w:val="0"/>
        <w:jc w:val="both"/>
        <w:spacing w:before="0" w:after="0" w:line="293" w:lineRule="exact"/>
        <w:ind w:left="20" w:right="20" w:firstLine="700"/>
      </w:pPr>
      <w:r>
        <w:rPr>
          <w:rStyle w:val="CharStyle11"/>
        </w:rPr>
        <w:t>ГОСТ Р 7.0.8-2013</w:t>
      </w:r>
      <w:r>
        <w:rPr>
          <w:lang w:val="ru-RU" w:eastAsia="ru-RU" w:bidi="ru-RU"/>
          <w:sz w:val="24"/>
          <w:szCs w:val="24"/>
          <w:w w:val="100"/>
          <w:spacing w:val="0"/>
          <w:color w:val="000000"/>
          <w:position w:val="0"/>
        </w:rPr>
        <w:t xml:space="preserve"> «Национальный стандарт Российской Федерации. Система стандартов по информации, библиотечному и издательскому делу. Делопроизводство и архивное дело. Термины и определения» установлено понятие оригинала (подлинника), под которым понимается первый или единственный экземпляр документа.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Согласно </w:t>
      </w:r>
      <w:r>
        <w:rPr>
          <w:rStyle w:val="CharStyle11"/>
        </w:rPr>
        <w:t>части 8 статьи 45</w:t>
      </w:r>
      <w:r>
        <w:rPr>
          <w:lang w:val="ru-RU" w:eastAsia="ru-RU" w:bidi="ru-RU"/>
          <w:sz w:val="24"/>
          <w:szCs w:val="24"/>
          <w:w w:val="100"/>
          <w:spacing w:val="0"/>
          <w:color w:val="000000"/>
          <w:position w:val="0"/>
        </w:rPr>
        <w:t xml:space="preserve"> Закона банковская гарантия, используемая для целей Закона, информация о ней и документы, предусмотренные </w:t>
      </w:r>
      <w:r>
        <w:rPr>
          <w:rStyle w:val="CharStyle11"/>
        </w:rPr>
        <w:t>частью 9 статьи</w:t>
      </w:r>
      <w:r>
        <w:rPr>
          <w:lang w:val="ru-RU" w:eastAsia="ru-RU" w:bidi="ru-RU"/>
          <w:sz w:val="24"/>
          <w:szCs w:val="24"/>
          <w:w w:val="100"/>
          <w:spacing w:val="0"/>
          <w:color w:val="000000"/>
          <w:position w:val="0"/>
        </w:rPr>
        <w:t xml:space="preserve"> 45 Закона, должны быть включены в реестр банковских гарантий, размещенный в единой информационной системе, за исключением банковских гарантий, указанных в </w:t>
      </w:r>
      <w:r>
        <w:rPr>
          <w:rStyle w:val="CharStyle11"/>
        </w:rPr>
        <w:t>части 8.1 статьи 45</w:t>
      </w:r>
      <w:r>
        <w:rPr>
          <w:lang w:val="ru-RU" w:eastAsia="ru-RU" w:bidi="ru-RU"/>
          <w:sz w:val="24"/>
          <w:szCs w:val="24"/>
          <w:w w:val="100"/>
          <w:spacing w:val="0"/>
          <w:color w:val="000000"/>
          <w:position w:val="0"/>
        </w:rPr>
        <w:t xml:space="preserve"> Закона;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С учетом изложенного гарант вправе в соответствии с требованиями </w:t>
      </w:r>
      <w:r>
        <w:rPr>
          <w:rStyle w:val="CharStyle11"/>
        </w:rPr>
        <w:t>статьи</w:t>
      </w:r>
      <w:r>
        <w:rPr>
          <w:lang w:val="ru-RU" w:eastAsia="ru-RU" w:bidi="ru-RU"/>
          <w:sz w:val="24"/>
          <w:szCs w:val="24"/>
          <w:w w:val="100"/>
          <w:spacing w:val="0"/>
          <w:color w:val="000000"/>
          <w:position w:val="0"/>
        </w:rPr>
        <w:t xml:space="preserve"> 45 Закона с использованием государственной информационной системы выразить волю на выдачу банковской гарантии, включив все сведения о гарантии в государственный реестр, находящийся в открытом доступе, создав электронный образ выполненной на бумажном носителе банковской гарантии (путем сканирования с сохранением всех реквизитов), и. подписав этот образ усиленной электронной подписью, направив его через систему электронного документооборота, доведя тем самым и до сведения бенефициара.</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Кроме того, следуя позиции Президиума Верховного Суда Российской Федерации, выраженной в пункте 10 Обзора судебной практики разрешения споров, связанных с применением законодательства о независимой гарантии, условие банковской гарантии о необходимости приложения ее оригинала на бумажном носителе является ничтожным как противоречащее существу законодательного регулирования в сфере обеспечения исполнения государственных контрактов, заключаемых на электронных аукционах, основанного на признании электронного документооборота </w:t>
      </w:r>
      <w:r>
        <w:rPr>
          <w:rStyle w:val="CharStyle11"/>
        </w:rPr>
        <w:t>(статья 168</w:t>
      </w:r>
      <w:r>
        <w:rPr>
          <w:lang w:val="ru-RU" w:eastAsia="ru-RU" w:bidi="ru-RU"/>
          <w:sz w:val="24"/>
          <w:szCs w:val="24"/>
          <w:w w:val="100"/>
          <w:spacing w:val="0"/>
          <w:color w:val="000000"/>
          <w:position w:val="0"/>
        </w:rPr>
        <w:t xml:space="preserve"> Гражданского кодекса Российской Федерации, </w:t>
      </w:r>
      <w:r>
        <w:rPr>
          <w:rStyle w:val="CharStyle11"/>
        </w:rPr>
        <w:t>пункт 74</w:t>
      </w:r>
      <w:r>
        <w:rPr>
          <w:lang w:val="ru-RU" w:eastAsia="ru-RU" w:bidi="ru-RU"/>
          <w:sz w:val="24"/>
          <w:szCs w:val="24"/>
          <w:w w:val="100"/>
          <w:spacing w:val="0"/>
          <w:color w:val="000000"/>
          <w:position w:val="0"/>
        </w:rPr>
        <w:t xml:space="preserve"> постановления Пленума Верховного Суда Российской Федерации от 23 июня 2015 г. № 25 «О применении судами некоторых положений раздела I части первой Гражданского кодекса Российской Федерации»).</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Таким образом, Комиссия Орловского У ФАС России приходит к выводу, что положениями Закона и </w:t>
      </w:r>
      <w:r>
        <w:rPr>
          <w:rStyle w:val="CharStyle11"/>
        </w:rPr>
        <w:t>Постановления</w:t>
      </w:r>
      <w:r>
        <w:rPr>
          <w:lang w:val="ru-RU" w:eastAsia="ru-RU" w:bidi="ru-RU"/>
          <w:sz w:val="24"/>
          <w:szCs w:val="24"/>
          <w:w w:val="100"/>
          <w:spacing w:val="0"/>
          <w:color w:val="000000"/>
          <w:position w:val="0"/>
        </w:rPr>
        <w:t xml:space="preserve"> № 1005 не предусмотрено представление поставщиком (подрядчиком, исполнителем) оригинала банковской гарантии, поскольку установленная в пункте 5.1.2 проекта контракта такая формулировка обязывает исполнителя представить оригинал банковской гарантии на бумажном носителе.</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Следовательно, заказчик, установив в проекте контракта, являющегося неотъемлемой частью аукционной документации, требование о предоставлении исполнителем заказчику оригинала безотзывной банковской гарантии в течение двух дней с момента заключения контракта допустил нарушение </w:t>
      </w:r>
      <w:r>
        <w:rPr>
          <w:rStyle w:val="CharStyle11"/>
        </w:rPr>
        <w:t>пункта 8 части 1</w:t>
      </w:r>
      <w:r>
        <w:rPr>
          <w:lang w:val="ru-RU" w:eastAsia="ru-RU" w:bidi="ru-RU"/>
          <w:sz w:val="24"/>
          <w:szCs w:val="24"/>
          <w:w w:val="100"/>
          <w:spacing w:val="0"/>
          <w:color w:val="000000"/>
          <w:position w:val="0"/>
        </w:rPr>
        <w:t xml:space="preserve"> </w:t>
      </w:r>
      <w:r>
        <w:rPr>
          <w:rStyle w:val="CharStyle11"/>
        </w:rPr>
        <w:t>статьи 64</w:t>
      </w:r>
      <w:r>
        <w:rPr>
          <w:lang w:val="ru-RU" w:eastAsia="ru-RU" w:bidi="ru-RU"/>
          <w:sz w:val="24"/>
          <w:szCs w:val="24"/>
          <w:w w:val="100"/>
          <w:spacing w:val="0"/>
          <w:color w:val="000000"/>
          <w:position w:val="0"/>
        </w:rPr>
        <w:t xml:space="preserve"> Закона.</w:t>
      </w:r>
    </w:p>
    <w:p>
      <w:pPr>
        <w:pStyle w:val="Style9"/>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Таким образом довод Заявителя находит свое подтверждение.</w:t>
      </w:r>
    </w:p>
    <w:p>
      <w:pPr>
        <w:pStyle w:val="Style9"/>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На основании вышеизложенного, исходя из представленных доказательств, руководствуясь частью 8 статьи 106 Закона, пунктом 3.38 Административного регламента. Комиссия</w:t>
      </w:r>
    </w:p>
    <w:p>
      <w:pPr>
        <w:pStyle w:val="Style19"/>
        <w:widowControl w:val="0"/>
        <w:keepNext w:val="0"/>
        <w:keepLines w:val="0"/>
        <w:shd w:val="clear" w:color="auto" w:fill="auto"/>
        <w:bidi w:val="0"/>
        <w:jc w:val="left"/>
        <w:spacing w:before="0" w:after="0"/>
        <w:ind w:left="4240" w:right="0" w:firstLine="0"/>
      </w:pPr>
      <w:r>
        <w:rPr>
          <w:lang w:val="ru-RU" w:eastAsia="ru-RU" w:bidi="ru-RU"/>
          <w:w w:val="100"/>
          <w:color w:val="000000"/>
          <w:position w:val="0"/>
        </w:rPr>
        <w:t>РЕШИЛА:</w:t>
      </w:r>
    </w:p>
    <w:p>
      <w:pPr>
        <w:pStyle w:val="Style9"/>
        <w:numPr>
          <w:ilvl w:val="0"/>
          <w:numId w:val="11"/>
        </w:numPr>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 xml:space="preserve"> Жатобу ООО «Монолит» признать обоснованной.</w:t>
      </w:r>
    </w:p>
    <w:p>
      <w:pPr>
        <w:pStyle w:val="Style9"/>
        <w:numPr>
          <w:ilvl w:val="0"/>
          <w:numId w:val="11"/>
        </w:numPr>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 xml:space="preserve"> Заказчику приостановление определения поставщика отменить.</w:t>
      </w:r>
    </w:p>
    <w:p>
      <w:pPr>
        <w:pStyle w:val="Style9"/>
        <w:numPr>
          <w:ilvl w:val="0"/>
          <w:numId w:val="11"/>
        </w:numPr>
        <w:widowControl w:val="0"/>
        <w:keepNext w:val="0"/>
        <w:keepLines w:val="0"/>
        <w:shd w:val="clear" w:color="auto" w:fill="auto"/>
        <w:bidi w:val="0"/>
        <w:jc w:val="left"/>
        <w:spacing w:before="0" w:after="0" w:line="293" w:lineRule="exact"/>
        <w:ind w:left="1100" w:right="20"/>
      </w:pPr>
      <w:r>
        <w:rPr>
          <w:lang w:val="ru-RU" w:eastAsia="ru-RU" w:bidi="ru-RU"/>
          <w:sz w:val="24"/>
          <w:szCs w:val="24"/>
          <w:w w:val="100"/>
          <w:spacing w:val="0"/>
          <w:color w:val="000000"/>
          <w:position w:val="0"/>
        </w:rPr>
        <w:t xml:space="preserve"> Признать в действиях Заказчика нарушение частей 23, 24 статьи 34, пункта 8 части 1 статьи 64 Закона.</w:t>
      </w:r>
    </w:p>
    <w:p>
      <w:pPr>
        <w:pStyle w:val="Style9"/>
        <w:numPr>
          <w:ilvl w:val="0"/>
          <w:numId w:val="11"/>
        </w:numPr>
        <w:widowControl w:val="0"/>
        <w:keepNext w:val="0"/>
        <w:keepLines w:val="0"/>
        <w:shd w:val="clear" w:color="auto" w:fill="auto"/>
        <w:bidi w:val="0"/>
        <w:jc w:val="left"/>
        <w:spacing w:before="0" w:after="0" w:line="293" w:lineRule="exact"/>
        <w:ind w:left="1100" w:right="20"/>
      </w:pPr>
      <w:r>
        <w:rPr>
          <w:lang w:val="ru-RU" w:eastAsia="ru-RU" w:bidi="ru-RU"/>
          <w:sz w:val="24"/>
          <w:szCs w:val="24"/>
          <w:w w:val="100"/>
          <w:spacing w:val="0"/>
          <w:color w:val="000000"/>
          <w:position w:val="0"/>
        </w:rPr>
        <w:t xml:space="preserve"> Выдать Заказчику предписание о внесении изменений в документацию об Аукционе.</w:t>
      </w:r>
    </w:p>
    <w:p>
      <w:pPr>
        <w:pStyle w:val="Style9"/>
        <w:numPr>
          <w:ilvl w:val="0"/>
          <w:numId w:val="11"/>
        </w:numPr>
        <w:tabs>
          <w:tab w:leader="none" w:pos="6721" w:val="left"/>
          <w:tab w:leader="none" w:pos="9269" w:val="right"/>
          <w:tab w:leader="none" w:pos="1098" w:val="left"/>
        </w:tabs>
        <w:widowControl w:val="0"/>
        <w:keepNext w:val="0"/>
        <w:keepLines w:val="0"/>
        <w:shd w:val="clear" w:color="auto" w:fill="auto"/>
        <w:bidi w:val="0"/>
        <w:jc w:val="both"/>
        <w:spacing w:before="0" w:after="0" w:line="302" w:lineRule="exact"/>
        <w:ind w:left="0" w:right="0" w:firstLine="740"/>
      </w:pPr>
      <w:r>
        <w:rPr>
          <w:lang w:val="ru-RU" w:eastAsia="ru-RU" w:bidi="ru-RU"/>
          <w:sz w:val="24"/>
          <w:szCs w:val="24"/>
          <w:w w:val="100"/>
          <w:spacing w:val="0"/>
          <w:color w:val="000000"/>
          <w:position w:val="0"/>
        </w:rPr>
        <w:t>Передать материалы дела от 03.08.2020</w:t>
        <w:tab/>
        <w:t>№</w:t>
        <w:tab/>
        <w:t>057/06/64-486/2020</w:t>
      </w:r>
    </w:p>
    <w:p>
      <w:pPr>
        <w:pStyle w:val="Style9"/>
        <w:widowControl w:val="0"/>
        <w:keepNext w:val="0"/>
        <w:keepLines w:val="0"/>
        <w:shd w:val="clear" w:color="auto" w:fill="auto"/>
        <w:bidi w:val="0"/>
        <w:jc w:val="both"/>
        <w:spacing w:before="0" w:after="210" w:line="302" w:lineRule="exact"/>
        <w:ind w:left="1060" w:right="20" w:firstLine="0"/>
      </w:pPr>
      <w:r>
        <w:rPr>
          <w:lang w:val="ru-RU" w:eastAsia="ru-RU" w:bidi="ru-RU"/>
          <w:sz w:val="24"/>
          <w:szCs w:val="24"/>
          <w:w w:val="100"/>
          <w:spacing w:val="0"/>
          <w:color w:val="000000"/>
          <w:position w:val="0"/>
        </w:rPr>
        <w:t>должностному лицу Управления для рассмотрения вопроса о возбуждении дела об административном правонарушении.</w:t>
      </w:r>
    </w:p>
    <w:p>
      <w:pPr>
        <w:pStyle w:val="Style9"/>
        <w:tabs>
          <w:tab w:leader="none" w:pos="4397" w:val="right"/>
          <w:tab w:leader="none" w:pos="8071" w:val="right"/>
          <w:tab w:leader="none" w:pos="9269" w:val="right"/>
        </w:tabs>
        <w:widowControl w:val="0"/>
        <w:keepNext w:val="0"/>
        <w:keepLines w:val="0"/>
        <w:shd w:val="clear" w:color="auto" w:fill="auto"/>
        <w:bidi w:val="0"/>
        <w:jc w:val="both"/>
        <w:spacing w:before="0" w:after="0" w:line="340" w:lineRule="exact"/>
        <w:ind w:left="0" w:right="0" w:firstLine="0"/>
      </w:pPr>
      <w:r>
        <w:rPr>
          <w:lang w:val="ru-RU" w:eastAsia="ru-RU" w:bidi="ru-RU"/>
          <w:sz w:val="24"/>
          <w:szCs w:val="24"/>
          <w:w w:val="100"/>
          <w:spacing w:val="0"/>
          <w:color w:val="000000"/>
          <w:position w:val="0"/>
        </w:rPr>
        <w:t>Председатель Комиссии:</w:t>
        <w:tab/>
      </w:r>
      <w:r>
        <w:rPr>
          <w:rStyle w:val="CharStyle21"/>
        </w:rPr>
        <w:t>/Г</w:t>
      </w:r>
      <w:r>
        <w:rPr>
          <w:rStyle w:val="CharStyle22"/>
        </w:rPr>
        <w:tab/>
      </w:r>
      <w:r>
        <w:rPr>
          <w:rStyle w:val="CharStyle11"/>
        </w:rPr>
        <w:t xml:space="preserve"> </w:t>
      </w:r>
      <w:r>
        <w:rPr>
          <w:lang w:val="ru-RU" w:eastAsia="ru-RU" w:bidi="ru-RU"/>
          <w:sz w:val="24"/>
          <w:szCs w:val="24"/>
          <w:w w:val="100"/>
          <w:spacing w:val="0"/>
          <w:color w:val="000000"/>
          <w:position w:val="0"/>
        </w:rPr>
        <w:t xml:space="preserve"> А.Н.</w:t>
        <w:tab/>
        <w:t>Кирьянов</w:t>
      </w:r>
    </w:p>
    <w:p>
      <w:pPr>
        <w:pStyle w:val="Style9"/>
        <w:tabs>
          <w:tab w:leader="none" w:pos="5309" w:val="right"/>
          <w:tab w:leader="none" w:pos="7541" w:val="right"/>
          <w:tab w:leader="none" w:pos="7819" w:val="right"/>
          <w:tab w:leader="none" w:pos="8071" w:val="right"/>
          <w:tab w:leader="none" w:pos="9269" w:val="right"/>
        </w:tabs>
        <w:widowControl w:val="0"/>
        <w:keepNext w:val="0"/>
        <w:keepLines w:val="0"/>
        <w:shd w:val="clear" w:color="auto" w:fill="auto"/>
        <w:bidi w:val="0"/>
        <w:jc w:val="both"/>
        <w:spacing w:before="0" w:after="362" w:line="240" w:lineRule="exact"/>
        <w:ind w:left="0" w:right="0" w:firstLine="0"/>
      </w:pPr>
      <w:r>
        <w:rPr>
          <w:lang w:val="ru-RU" w:eastAsia="ru-RU" w:bidi="ru-RU"/>
          <w:sz w:val="24"/>
          <w:szCs w:val="24"/>
          <w:w w:val="100"/>
          <w:spacing w:val="0"/>
          <w:color w:val="000000"/>
          <w:position w:val="0"/>
        </w:rPr>
        <w:t>Члены Комиссии:</w:t>
        <w:tab/>
      </w:r>
      <w:r>
        <w:rPr>
          <w:rStyle w:val="CharStyle23"/>
          <w:vertAlign w:val="superscript"/>
        </w:rPr>
        <w:t>L///</w:t>
      </w:r>
      <w:r>
        <w:rPr>
          <w:rStyle w:val="CharStyle23"/>
        </w:rPr>
        <w:t>^</w:t>
        <w:tab/>
      </w:r>
      <w:r>
        <w:rPr>
          <w:rStyle w:val="CharStyle22"/>
        </w:rPr>
        <w:t>У*</w:t>
        <w:tab/>
      </w:r>
      <w:r>
        <w:rPr>
          <w:rStyle w:val="CharStyle24"/>
        </w:rPr>
        <w:t>q</w:t>
      </w:r>
      <w:r>
        <w:rPr>
          <w:lang w:val="en-US" w:eastAsia="en-US" w:bidi="en-US"/>
          <w:sz w:val="24"/>
          <w:szCs w:val="24"/>
          <w:w w:val="100"/>
          <w:spacing w:val="0"/>
          <w:color w:val="000000"/>
          <w:position w:val="0"/>
        </w:rPr>
        <w:tab/>
      </w:r>
      <w:r>
        <w:rPr>
          <w:lang w:val="ru-RU" w:eastAsia="ru-RU" w:bidi="ru-RU"/>
          <w:sz w:val="24"/>
          <w:szCs w:val="24"/>
          <w:w w:val="100"/>
          <w:spacing w:val="0"/>
          <w:color w:val="000000"/>
          <w:position w:val="0"/>
        </w:rPr>
        <w:t>д</w:t>
        <w:tab/>
        <w:t>т</w:t>
      </w:r>
      <w:r>
        <w:rPr>
          <w:lang w:val="ru-RU" w:eastAsia="ru-RU" w:bidi="ru-RU"/>
          <w:vertAlign w:val="subscript"/>
          <w:sz w:val="24"/>
          <w:szCs w:val="24"/>
          <w:w w:val="100"/>
          <w:spacing w:val="0"/>
          <w:color w:val="000000"/>
          <w:position w:val="0"/>
        </w:rPr>
        <w:t>оршина</w:t>
      </w:r>
    </w:p>
    <w:p>
      <w:pPr>
        <w:pStyle w:val="Style9"/>
        <w:widowControl w:val="0"/>
        <w:keepNext w:val="0"/>
        <w:keepLines w:val="0"/>
        <w:shd w:val="clear" w:color="auto" w:fill="auto"/>
        <w:bidi w:val="0"/>
        <w:jc w:val="right"/>
        <w:spacing w:before="0" w:after="164" w:line="240" w:lineRule="exact"/>
        <w:ind w:left="0" w:right="60" w:firstLine="0"/>
      </w:pPr>
      <w:r>
        <w:rPr>
          <w:lang w:val="ru-RU" w:eastAsia="ru-RU" w:bidi="ru-RU"/>
          <w:sz w:val="24"/>
          <w:szCs w:val="24"/>
          <w:w w:val="100"/>
          <w:spacing w:val="0"/>
          <w:color w:val="000000"/>
          <w:position w:val="0"/>
        </w:rPr>
        <w:t>Е.И. Шмыгина</w:t>
      </w:r>
    </w:p>
    <w:p>
      <w:pPr>
        <w:pStyle w:val="Style9"/>
        <w:widowControl w:val="0"/>
        <w:keepNext w:val="0"/>
        <w:keepLines w:val="0"/>
        <w:shd w:val="clear" w:color="auto" w:fill="auto"/>
        <w:bidi w:val="0"/>
        <w:jc w:val="both"/>
        <w:spacing w:before="0" w:after="1329" w:line="269" w:lineRule="exact"/>
        <w:ind w:left="0" w:right="20" w:firstLine="740"/>
      </w:pPr>
      <w:r>
        <w:rPr>
          <w:lang w:val="ru-RU" w:eastAsia="ru-RU" w:bidi="ru-RU"/>
          <w:sz w:val="24"/>
          <w:szCs w:val="24"/>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25"/>
        <w:widowControl w:val="0"/>
        <w:keepNext w:val="0"/>
        <w:keepLines w:val="0"/>
        <w:shd w:val="clear" w:color="auto" w:fill="auto"/>
        <w:bidi w:val="0"/>
        <w:jc w:val="left"/>
        <w:spacing w:before="0" w:after="0"/>
        <w:ind w:left="0" w:right="6920" w:firstLine="0"/>
      </w:pPr>
      <w:r>
        <w:rPr>
          <w:lang w:val="ru-RU" w:eastAsia="ru-RU" w:bidi="ru-RU"/>
          <w:w w:val="100"/>
          <w:spacing w:val="0"/>
          <w:color w:val="000000"/>
          <w:position w:val="0"/>
        </w:rPr>
        <w:t>Исп Торшина Ольга Александровна тел &lt;4862)73-16-32</w:t>
      </w:r>
    </w:p>
    <w:sectPr>
      <w:type w:val="continuous"/>
      <w:pgSz w:w="11906" w:h="16838"/>
      <w:pgMar w:top="1403" w:left="1268" w:right="1245" w:bottom="109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spacing w:val="10"/>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w:basedOn w:val="CharStyle10"/>
    <w:rPr>
      <w:lang w:val="ru-RU" w:eastAsia="ru-RU" w:bidi="ru-RU"/>
      <w:u w:val="single"/>
      <w:sz w:val="24"/>
      <w:szCs w:val="24"/>
      <w:w w:val="100"/>
      <w:spacing w:val="0"/>
      <w:color w:val="000000"/>
      <w:position w:val="0"/>
    </w:rPr>
  </w:style>
  <w:style w:type="character" w:customStyle="1" w:styleId="CharStyle12">
    <w:name w:val="Основной текст + Corbel,13 pt,Интервал 0 pt"/>
    <w:basedOn w:val="CharStyle10"/>
    <w:rPr>
      <w:lang w:val="ru-RU" w:eastAsia="ru-RU" w:bidi="ru-RU"/>
      <w:u w:val="single"/>
      <w:sz w:val="26"/>
      <w:szCs w:val="26"/>
      <w:rFonts w:ascii="Corbel" w:eastAsia="Corbel" w:hAnsi="Corbel" w:cs="Corbel"/>
      <w:w w:val="100"/>
      <w:spacing w:val="-10"/>
      <w:color w:val="000000"/>
      <w:position w:val="0"/>
    </w:rPr>
  </w:style>
  <w:style w:type="character" w:customStyle="1" w:styleId="CharStyle13">
    <w:name w:val="Основной текст + Corbel,13 pt,Интервал 0 pt"/>
    <w:basedOn w:val="CharStyle10"/>
    <w:rPr>
      <w:lang w:val="ru-RU" w:eastAsia="ru-RU" w:bidi="ru-RU"/>
      <w:sz w:val="26"/>
      <w:szCs w:val="26"/>
      <w:rFonts w:ascii="Corbel" w:eastAsia="Corbel" w:hAnsi="Corbel" w:cs="Corbel"/>
      <w:w w:val="100"/>
      <w:spacing w:val="-1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23"/>
      <w:szCs w:val="23"/>
      <w:rFonts w:ascii="Lucida Sans Unicode" w:eastAsia="Lucida Sans Unicode" w:hAnsi="Lucida Sans Unicode" w:cs="Lucida Sans Unicode"/>
    </w:rPr>
  </w:style>
  <w:style w:type="character" w:customStyle="1" w:styleId="CharStyle17">
    <w:name w:val="Основной текст (6)_"/>
    <w:basedOn w:val="DefaultParagraphFont"/>
    <w:link w:val="Style16"/>
    <w:rPr>
      <w:b w:val="0"/>
      <w:bCs w:val="0"/>
      <w:i w:val="0"/>
      <w:iCs w:val="0"/>
      <w:u w:val="none"/>
      <w:strike w:val="0"/>
      <w:smallCaps w:val="0"/>
      <w:sz w:val="26"/>
      <w:szCs w:val="26"/>
      <w:rFonts w:ascii="Times New Roman" w:eastAsia="Times New Roman" w:hAnsi="Times New Roman" w:cs="Times New Roman"/>
      <w:spacing w:val="80"/>
    </w:rPr>
  </w:style>
  <w:style w:type="character" w:customStyle="1" w:styleId="CharStyle18">
    <w:name w:val="Основной текст + Интервал 3 pt"/>
    <w:basedOn w:val="CharStyle10"/>
    <w:rPr>
      <w:lang w:val="ru-RU" w:eastAsia="ru-RU" w:bidi="ru-RU"/>
      <w:sz w:val="24"/>
      <w:szCs w:val="24"/>
      <w:w w:val="100"/>
      <w:spacing w:val="70"/>
      <w:color w:val="000000"/>
      <w:position w:val="0"/>
    </w:rPr>
  </w:style>
  <w:style w:type="character" w:customStyle="1" w:styleId="CharStyle20">
    <w:name w:val="Основной текст (7)_"/>
    <w:basedOn w:val="DefaultParagraphFont"/>
    <w:link w:val="Style19"/>
    <w:rPr>
      <w:b w:val="0"/>
      <w:bCs w:val="0"/>
      <w:i w:val="0"/>
      <w:iCs w:val="0"/>
      <w:u w:val="none"/>
      <w:strike w:val="0"/>
      <w:smallCaps w:val="0"/>
      <w:sz w:val="26"/>
      <w:szCs w:val="26"/>
      <w:rFonts w:ascii="Times New Roman" w:eastAsia="Times New Roman" w:hAnsi="Times New Roman" w:cs="Times New Roman"/>
      <w:spacing w:val="60"/>
    </w:rPr>
  </w:style>
  <w:style w:type="character" w:customStyle="1" w:styleId="CharStyle21">
    <w:name w:val="Основной текст + 17 pt,Курсив"/>
    <w:basedOn w:val="CharStyle10"/>
    <w:rPr>
      <w:lang w:val="ru-RU" w:eastAsia="ru-RU" w:bidi="ru-RU"/>
      <w:i/>
      <w:iCs/>
      <w:sz w:val="34"/>
      <w:szCs w:val="34"/>
      <w:w w:val="100"/>
      <w:spacing w:val="0"/>
      <w:color w:val="000000"/>
      <w:position w:val="0"/>
    </w:rPr>
  </w:style>
  <w:style w:type="character" w:customStyle="1" w:styleId="CharStyle22">
    <w:name w:val="Основной текст"/>
    <w:basedOn w:val="CharStyle10"/>
    <w:rPr>
      <w:lang w:val="ru-RU" w:eastAsia="ru-RU" w:bidi="ru-RU"/>
      <w:sz w:val="24"/>
      <w:szCs w:val="24"/>
      <w:w w:val="100"/>
      <w:spacing w:val="0"/>
      <w:color w:val="000000"/>
      <w:position w:val="0"/>
    </w:rPr>
  </w:style>
  <w:style w:type="character" w:customStyle="1" w:styleId="CharStyle23">
    <w:name w:val="Основной текст"/>
    <w:basedOn w:val="CharStyle10"/>
    <w:rPr>
      <w:lang w:val="en-US" w:eastAsia="en-US" w:bidi="en-US"/>
      <w:sz w:val="24"/>
      <w:szCs w:val="24"/>
      <w:w w:val="100"/>
      <w:spacing w:val="0"/>
      <w:color w:val="000000"/>
      <w:position w:val="0"/>
    </w:rPr>
  </w:style>
  <w:style w:type="character" w:customStyle="1" w:styleId="CharStyle24">
    <w:name w:val="Основной текст + Малые прописные"/>
    <w:basedOn w:val="CharStyle10"/>
    <w:rPr>
      <w:lang w:val="en-US" w:eastAsia="en-US" w:bidi="en-US"/>
      <w:smallCaps/>
      <w:sz w:val="24"/>
      <w:szCs w:val="24"/>
      <w:w w:val="100"/>
      <w:spacing w:val="0"/>
      <w:color w:val="000000"/>
      <w:position w:val="0"/>
    </w:rPr>
  </w:style>
  <w:style w:type="character" w:customStyle="1" w:styleId="CharStyle26">
    <w:name w:val="Основной текст (8)_"/>
    <w:basedOn w:val="DefaultParagraphFont"/>
    <w:link w:val="Style25"/>
    <w:rPr>
      <w:b w:val="0"/>
      <w:bCs w:val="0"/>
      <w:i/>
      <w:iCs/>
      <w:u w:val="none"/>
      <w:strike w:val="0"/>
      <w:smallCaps w:val="0"/>
      <w:sz w:val="15"/>
      <w:szCs w:val="15"/>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60" w:after="120" w:line="245"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60" w:line="293"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7">
    <w:name w:val="Основной текст (4)"/>
    <w:basedOn w:val="Normal"/>
    <w:link w:val="CharStyle8"/>
    <w:pPr>
      <w:widowControl w:val="0"/>
      <w:shd w:val="clear" w:color="auto" w:fill="FFFFFF"/>
      <w:jc w:val="center"/>
      <w:spacing w:before="60" w:after="240" w:line="21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240" w:after="240" w:line="0" w:lineRule="exact"/>
      <w:ind w:hanging="360"/>
    </w:pPr>
    <w:rPr>
      <w:b w:val="0"/>
      <w:bCs w:val="0"/>
      <w:i w:val="0"/>
      <w:iCs w:val="0"/>
      <w:u w:val="none"/>
      <w:strike w:val="0"/>
      <w:smallCaps w:val="0"/>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right"/>
      <w:spacing w:line="293" w:lineRule="exact"/>
    </w:pPr>
    <w:rPr>
      <w:b w:val="0"/>
      <w:bCs w:val="0"/>
      <w:i w:val="0"/>
      <w:iCs w:val="0"/>
      <w:u w:val="none"/>
      <w:strike w:val="0"/>
      <w:smallCaps w:val="0"/>
      <w:sz w:val="23"/>
      <w:szCs w:val="23"/>
      <w:rFonts w:ascii="Lucida Sans Unicode" w:eastAsia="Lucida Sans Unicode" w:hAnsi="Lucida Sans Unicode" w:cs="Lucida Sans Unicode"/>
    </w:rPr>
  </w:style>
  <w:style w:type="paragraph" w:customStyle="1" w:styleId="Style16">
    <w:name w:val="Основной текст (6)"/>
    <w:basedOn w:val="Normal"/>
    <w:link w:val="CharStyle17"/>
    <w:pPr>
      <w:widowControl w:val="0"/>
      <w:shd w:val="clear" w:color="auto" w:fill="FFFFFF"/>
      <w:jc w:val="center"/>
      <w:spacing w:after="60" w:line="0" w:lineRule="exact"/>
    </w:pPr>
    <w:rPr>
      <w:b w:val="0"/>
      <w:bCs w:val="0"/>
      <w:i w:val="0"/>
      <w:iCs w:val="0"/>
      <w:u w:val="none"/>
      <w:strike w:val="0"/>
      <w:smallCaps w:val="0"/>
      <w:sz w:val="26"/>
      <w:szCs w:val="26"/>
      <w:rFonts w:ascii="Times New Roman" w:eastAsia="Times New Roman" w:hAnsi="Times New Roman" w:cs="Times New Roman"/>
      <w:spacing w:val="80"/>
    </w:rPr>
  </w:style>
  <w:style w:type="paragraph" w:customStyle="1" w:styleId="Style19">
    <w:name w:val="Основной текст (7)"/>
    <w:basedOn w:val="Normal"/>
    <w:link w:val="CharStyle20"/>
    <w:pPr>
      <w:widowControl w:val="0"/>
      <w:shd w:val="clear" w:color="auto" w:fill="FFFFFF"/>
      <w:spacing w:line="293" w:lineRule="exact"/>
    </w:pPr>
    <w:rPr>
      <w:b w:val="0"/>
      <w:bCs w:val="0"/>
      <w:i w:val="0"/>
      <w:iCs w:val="0"/>
      <w:u w:val="none"/>
      <w:strike w:val="0"/>
      <w:smallCaps w:val="0"/>
      <w:sz w:val="26"/>
      <w:szCs w:val="26"/>
      <w:rFonts w:ascii="Times New Roman" w:eastAsia="Times New Roman" w:hAnsi="Times New Roman" w:cs="Times New Roman"/>
      <w:spacing w:val="60"/>
    </w:rPr>
  </w:style>
  <w:style w:type="paragraph" w:customStyle="1" w:styleId="Style25">
    <w:name w:val="Основной текст (8)"/>
    <w:basedOn w:val="Normal"/>
    <w:link w:val="CharStyle26"/>
    <w:pPr>
      <w:widowControl w:val="0"/>
      <w:shd w:val="clear" w:color="auto" w:fill="FFFFFF"/>
      <w:spacing w:before="1260" w:line="182" w:lineRule="exact"/>
    </w:pPr>
    <w:rPr>
      <w:b w:val="0"/>
      <w:bCs w:val="0"/>
      <w:i/>
      <w:iCs/>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