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774" w:h="2040" w:wrap="around" w:vAnchor="text" w:hAnchor="margin" w:x="4435" w:y="464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100" w:firstLine="0"/>
      </w:pPr>
      <w:r>
        <w:rPr>
          <w:rStyle w:val="CharStyle4"/>
          <w:spacing w:val="0"/>
        </w:rPr>
        <w:t>Руководителю Управление Федеральной антимонопольной службы по Омской облас</w:t>
        <w:softHyphen/>
        <w:t>ти (Омское У ФАС России)</w:t>
      </w:r>
    </w:p>
    <w:p>
      <w:pPr>
        <w:pStyle w:val="Style5"/>
        <w:framePr w:w="4774" w:h="2040" w:wrap="around" w:vAnchor="text" w:hAnchor="margin" w:x="4435" w:y="464"/>
        <w:widowControl w:val="0"/>
        <w:keepNext w:val="0"/>
        <w:keepLines w:val="0"/>
        <w:shd w:val="clear" w:color="auto" w:fill="auto"/>
        <w:bidi w:val="0"/>
        <w:jc w:val="left"/>
        <w:spacing w:before="0" w:after="64" w:line="278" w:lineRule="exact"/>
        <w:ind w:left="100" w:right="0" w:firstLine="0"/>
      </w:pPr>
      <w:r>
        <w:rPr>
          <w:rStyle w:val="CharStyle6"/>
          <w:b/>
          <w:bCs/>
        </w:rPr>
        <w:t>Кабаненко Вадиму Анатольевичу</w:t>
      </w:r>
    </w:p>
    <w:p>
      <w:pPr>
        <w:pStyle w:val="Style3"/>
        <w:framePr w:w="4774" w:h="2040" w:wrap="around" w:vAnchor="text" w:hAnchor="margin" w:x="4435" w:y="46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00" w:firstLine="0"/>
      </w:pPr>
      <w:r>
        <w:rPr>
          <w:rStyle w:val="CharStyle4"/>
          <w:spacing w:val="0"/>
        </w:rPr>
        <w:t xml:space="preserve">Адрес: 644010, г. Омск, пр. К. Маркса, 12А, </w:t>
      </w:r>
      <w:r>
        <w:rPr>
          <w:rStyle w:val="CharStyle4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"mailto:to55@fas.gov.ru" </w:instrText>
      </w:r>
      <w:r>
        <w:fldChar w:fldCharType="separate"/>
      </w:r>
      <w:r>
        <w:rPr>
          <w:rStyle w:val="Hyperlink"/>
          <w:spacing w:val="0"/>
        </w:rPr>
        <w:t>to55@fas.gov.ru</w:t>
      </w:r>
      <w:r>
        <w:fldChar w:fldCharType="end"/>
      </w:r>
      <w:r>
        <w:rPr>
          <w:rStyle w:val="CharStyle4"/>
          <w:lang w:val="en-US" w:eastAsia="en-US" w:bidi="en-US"/>
          <w:spacing w:val="0"/>
        </w:rPr>
        <w:t xml:space="preserve"> </w:t>
      </w:r>
      <w:r>
        <w:rPr>
          <w:rStyle w:val="CharStyle4"/>
          <w:spacing w:val="0"/>
        </w:rPr>
        <w:t xml:space="preserve">Телефон/факс: </w:t>
      </w:r>
      <w:r>
        <w:rPr>
          <w:rStyle w:val="CharStyle8"/>
        </w:rPr>
        <w:t>8 (3812) 32-06-96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200" w:firstLine="1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</w:t>
      </w:r>
      <w:r>
        <w:rPr>
          <w:rStyle w:val="CharStyle10"/>
          <w:b w:val="0"/>
          <w:bCs w:val="0"/>
        </w:rPr>
        <w:t xml:space="preserve">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ОГРАНИЧЕННОЙ ОТВЕТСТВЕННОСТЬЮ «ВЕКТОР»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(ООО «ВЕКТОР»)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630009, Новосибирск, ул. Никитина, дом 20 оф 308 тел. 89137590000 ИНН 5405989261 КПП 540501001 ОГРН 1165476193706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lakutin@kwarts-energy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ru</w:t>
      </w:r>
    </w:p>
    <w:p>
      <w:pPr>
        <w:pStyle w:val="Style3"/>
        <w:numPr>
          <w:ilvl w:val="0"/>
          <w:numId w:val="1"/>
        </w:numPr>
        <w:tabs>
          <w:tab w:leader="none" w:pos="1829" w:val="center"/>
          <w:tab w:leader="none" w:pos="2079" w:val="left"/>
          <w:tab w:leader="none" w:pos="171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rStyle w:val="CharStyle14"/>
        </w:rPr>
        <w:t>545</w:t>
      </w:r>
    </w:p>
    <w:p>
      <w:pPr>
        <w:pStyle w:val="Style3"/>
        <w:tabs>
          <w:tab w:leader="underscore" w:pos="2237" w:val="center"/>
          <w:tab w:leader="underscore" w:pos="3331" w:val="left"/>
          <w:tab w:leader="underscore" w:pos="3331" w:val="left"/>
        </w:tabs>
        <w:widowControl w:val="0"/>
        <w:keepNext w:val="0"/>
        <w:keepLines w:val="0"/>
        <w:shd w:val="clear" w:color="auto" w:fill="auto"/>
        <w:bidi w:val="0"/>
        <w:spacing w:before="0" w:after="55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№ 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  <w:tab/>
        <w:tab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602" w:line="200" w:lineRule="exact"/>
        <w:ind w:left="220" w:right="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действие заказчика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6" w:line="220" w:lineRule="exact"/>
        <w:ind w:left="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заказчика, конкурсной, аукционной или котировочной комиссии.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4" w:line="278" w:lineRule="exact"/>
        <w:ind w:left="2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АДМИНИСТРАЦИЯ ТЮКАЛИНСКОГО ГОРОДСКОГО ПОСЕЛЕНИЯ ТЮКАЛИН- СКОГО МУНИЦИПАЛЬНОГО РАЙОНА ОМСКОЙ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0" w:line="274" w:lineRule="exact"/>
        <w:ind w:left="220" w:right="20" w:firstLine="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Российская Федерация, 646330, Омская обл, Тюкалинский р-н, Тюкалинск г, УЛИЦА ЛЕНИНА, 28, 7-38176-21718,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"mailto:olga.zakaz.shmakova@mail.ru"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olga.zakaz.shmakova@mail.ru</w:t>
      </w:r>
      <w:r>
        <w:fldChar w:fldCharType="end"/>
      </w:r>
    </w:p>
    <w:p>
      <w:pPr>
        <w:pStyle w:val="Style3"/>
        <w:numPr>
          <w:ilvl w:val="0"/>
          <w:numId w:val="3"/>
        </w:numPr>
        <w:tabs>
          <w:tab w:leader="none" w:pos="903" w:val="left"/>
        </w:tabs>
        <w:widowControl w:val="0"/>
        <w:keepNext w:val="0"/>
        <w:keepLines w:val="0"/>
        <w:shd w:val="clear" w:color="auto" w:fill="auto"/>
        <w:bidi w:val="0"/>
        <w:spacing w:before="0" w:after="180" w:line="274" w:lineRule="exact"/>
        <w:ind w:left="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состоянию на 03 августа 2020г. Заказчиком размещен электронный аукцион по 44 ФЗ №0152300005320000021 на приобретение и установку газового котла на котельную, расположенную по адресу: г. Тюкалинск, ул. Мичурина, 8а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1" w:line="274" w:lineRule="exact"/>
        <w:ind w:left="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Помимо поставки оборудования (котел, горелка, автоматика), Заказчик требует от исполни</w:t>
        <w:softHyphen/>
        <w:t>теля выполнить: демонтаж/ существующего оборудования (котел, горелка и автоматика) и монтаж нового оборудования.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422" w:lineRule="exact"/>
        <w:ind w:left="9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технического задания не ясны объемы работ мо монтажу и демонтажу ввиду отсутствия проекта, прошедшего экспертизу и смет на проводимые работы.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422" w:lineRule="exact"/>
        <w:ind w:left="90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были направлены запросы разъяснения документации:</w:t>
      </w:r>
    </w:p>
    <w:p>
      <w:pPr>
        <w:pStyle w:val="Style15"/>
        <w:numPr>
          <w:ilvl w:val="0"/>
          <w:numId w:val="5"/>
        </w:numPr>
        <w:tabs>
          <w:tab w:leader="none" w:pos="9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22" w:lineRule="exact"/>
        <w:ind w:left="90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26.07.2020 10:29 (по московскому времени) запрос № 100471342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422" w:lineRule="exact"/>
        <w:ind w:left="9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Текст запроса: техническом задании п.1 указаны - Демонтаж старого котла, монтаж нового с привязкой к газоходу, трубопроводам, монтаж автоматики безопасности, щита управления кот</w:t>
        <w:softHyphen/>
        <w:t>лом. - Пуско - наладочные работы. 1. прошу предоставить проектную документацию для расчёта стоимости монтажных и демонтажных работ, такая проектная документация должна иметь по</w:t>
        <w:softHyphen/>
        <w:t>ложительное заключение экспертизы, поскольку замена котла на другой котел является техниче</w:t>
        <w:softHyphen/>
        <w:t xml:space="preserve">ским перевооружением, согласно статьи 1 Федерального закона от 21.07.1997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116-ФЗ "О про</w:t>
        <w:softHyphen/>
        <w:t>мышленной безопасности опасных производственных объектов" 2. не указаны характеристики существующего горелочного устройства, установка существующей горелки может не подойти к новому котлу по ряду параметров: 1. длинна пламенной трубы 2. сопротивление топки котла (мощность вентилятора) 3. автоматика горелки 3. не указаны параметры подключения газоходов котла, новый котел может не подойти к существующим. 4. не понятно подключение котла к сети</w:t>
      </w: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89" w:line="461" w:lineRule="exact"/>
        <w:ind w:left="5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Т1 и т2 диаметры. 5. не понятна комплектность поставки котла, прошу разместить требуемую информацию.</w:t>
      </w:r>
    </w:p>
    <w:p>
      <w:pPr>
        <w:pStyle w:val="Style15"/>
        <w:numPr>
          <w:ilvl w:val="0"/>
          <w:numId w:val="7"/>
        </w:numPr>
        <w:tabs>
          <w:tab w:leader="none" w:pos="24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14" w:line="200" w:lineRule="exact"/>
        <w:ind w:left="1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13:59 (по московскому времени) Был получен ответ от Заказчика: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47" w:line="200" w:lineRule="exact"/>
        <w:ind w:left="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Будут внесены изменения в техническое задание.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447" w:line="384" w:lineRule="exact"/>
        <w:ind w:left="5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изменой Заказчиком документации были внесены ключевые показатели по котлу и горелке, касательно монтажа и демонтажа оборудования информация предоставлена не была.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10" w:line="2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29.07.2020 10:12 (по московскому времени) запрос 100472517 был направлен новый запрос: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00" w:line="374" w:lineRule="exact"/>
        <w:ind w:left="5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техническом задании п.1 указаны - Демонтаж старого котла, монтаж нового с привязкой к газо</w:t>
        <w:softHyphen/>
        <w:t>ходу, трубопроводам, монтаж автоматики безопасности, щита управления котлом. - Пуско - на</w:t>
        <w:softHyphen/>
        <w:t>ладочные работы. 1. прошу предоставить проектную документацию для расчёта стоимости мон</w:t>
        <w:softHyphen/>
        <w:t>тажных и демонтажных работ, такая проектная документация должна иметь положительное за</w:t>
        <w:softHyphen/>
        <w:t>ключение экспертизы, поскольку замена котла на другой котел является техническим перевоо</w:t>
        <w:softHyphen/>
        <w:t xml:space="preserve">ружением, согласно статьи 1 Федерального закона от 21.07.1997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116-ФЗ "О промышленной безопасности опасных производственных объектов" 2. не указаны характеристики существую</w:t>
        <w:softHyphen/>
        <w:t>щего горелочного устройства, установка существующей горелки может не подойти к новому котлу по ряду параметров: 1. длинна пламенной трубы 2. сопротивление топки котла (мощность вентилятора) 3. автоматика горелки 3. не указаны параметры подключения газоходов котла, но</w:t>
        <w:softHyphen/>
        <w:t>вый котел может не подойти к существующим. 4. не понятно подключение котла к сети Т1 и т2 диаметры. 5. не понятна комплектность поставки котла, прошу разместить требуемую информа</w:t>
        <w:softHyphen/>
        <w:t>цию.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Получил ответ 30.07.2020 06:37 (по московскому времени)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Монтаж/демонтаж оборудования отсутствует в техническом задании.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81" w:line="374" w:lineRule="exact"/>
        <w:ind w:left="5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Замена применяемого на производственном объекте технического устройства не приводит к из</w:t>
        <w:softHyphen/>
        <w:t>менению технологического процесса на таком объекте, то технического перевооружения в пони</w:t>
        <w:softHyphen/>
        <w:t xml:space="preserve">мании Федерального закона от 21.07.1997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116-ФЗ "О промышленной безопасности опасного производственного объекта" не происходит и наличия проекта перевооружения котельной с экс</w:t>
        <w:softHyphen/>
        <w:t>пертизой не требуется.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43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размещения заказа (заявитель): ООО «Вектор», ИНН 5405989261 КПП 540501001 ОГРН 1165476193706 г. Новосибирск ул. Никитина , дом 20 оф 308 тел. 89137590000 Контактное лицо Лакутина Наталья Павловна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 на котором размещена информация о размещении заказа: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3" w:line="220" w:lineRule="exact"/>
        <w:ind w:left="840" w:right="0" w:firstLine="0"/>
      </w:pPr>
      <w:r>
        <w:fldChar w:fldCharType="begin"/>
      </w:r>
      <w:r>
        <w:rPr>
          <w:rStyle w:val="CharStyle14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20" w:line="2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Номер извещения: № 0152300005320000021</w:t>
      </w:r>
    </w:p>
    <w:p>
      <w:pPr>
        <w:pStyle w:val="Style5"/>
        <w:numPr>
          <w:ilvl w:val="0"/>
          <w:numId w:val="5"/>
        </w:numPr>
        <w:tabs>
          <w:tab w:leader="none" w:pos="44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5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электронного аукциона: Приобретение и установка газового котла на котельную, расположенную по адресу: г. Тюкалинск, ул. Мичурина, 8а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5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опубликования извещения о проведении электронного аукциона: 29.07.2020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Доводы жалобы: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Демонтаж и монтаж котла потребует демонтаж части здания котельной для того чтобы занести котел в помещение и вытащить старый котел (неисправный).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Здание котельной может быть разрушено при разборе стен либо кровли, учитывая значимость данной котельной (отапливает больницу) это недопустимо.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 w:line="278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таких работ проводят экспертизу здания котельной, которая является неотъемлемой частью проекта замены оборудования. Котельная является опасным производственным объектом.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определением статьи 1 Федерального закона от 21.07.1997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116-ФЗ "О промышленной безопасности опасных производственных объектов" (далее - ФЗ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116) техническое перевооружение опасного производственного объекта (далее - ОПО) - это приводящие к изменению технологического процесса на ОПО внедрение новой технологии, автоматизация ОПО или его отдельных частей, модернизация или замена применяемых на </w:t>
      </w:r>
      <w:r>
        <w:rPr>
          <w:rStyle w:val="CharStyle18"/>
        </w:rPr>
        <w:t>ОПО технических устройств.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1 статьи 8 ФЗ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116 документация на техническое перевооружение ОПО подлежит экспертизе промышленной безопасности в случае, если указанная документация не входит в состав проектной документации такого объекта, подлежащей экспертизе в соответствии с законодательством Российской Федерации о градостроительной деятельности. Не допускаются техническое перевооружение, консервация и ликвидация ОПО без положительного заключения экспертизы промышленной безопасности, которое в установленном порядке внесено в реестр заключений экспертизы промышленной безопасности, либо, если документация на техническое перевооружение ОПО входит в состав проектной документации такого объекта, без положительного заключения экспертизы проектной документации такого объекта.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9" w:line="274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 указанном случае проведения работ по техническому перевооружению ОПО, в объеме которых предусмотрены демонтаж и установка котла горелки и автоматики, документация на техническое перевооружение ОПО подлежит экспертизе промышленной безопасности.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 проекта оценить стоимость провидимых работ не представляется возможным.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804" w:line="250" w:lineRule="exact"/>
        <w:ind w:left="6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возможность совместимости оборудования с существующим (котел, горелка, автоматика) должна определить проектная организация, состоящая в реестре СРО и имеющая подтвержденный персонал. В противном случае оборудование может просто не обеспечить требуемые параметры работы котельной.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6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99" w:left="1083" w:right="694" w:bottom="91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widowControl w:val="0"/>
        <w:spacing w:line="15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.Внести изменения в техническое задание, добавить проект прошедший экспертизу и сметы прошедшие экспертизу для определения стоимости работ.</w:t>
      </w:r>
    </w:p>
    <w:p>
      <w:pPr>
        <w:pStyle w:val="Style3"/>
        <w:numPr>
          <w:ilvl w:val="0"/>
          <w:numId w:val="3"/>
        </w:numPr>
        <w:tabs>
          <w:tab w:leader="none" w:pos="1263" w:val="left"/>
        </w:tabs>
        <w:widowControl w:val="0"/>
        <w:keepNext w:val="0"/>
        <w:keepLines w:val="0"/>
        <w:shd w:val="clear" w:color="auto" w:fill="auto"/>
        <w:bidi w:val="0"/>
        <w:spacing w:before="0" w:after="2199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Продлить срок подачи заявок на участие в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Лакутина Н.П.</w:t>
      </w:r>
    </w:p>
    <w:sectPr>
      <w:type w:val="continuous"/>
      <w:pgSz w:w="11906" w:h="16838"/>
      <w:pgMar w:top="417" w:left="975" w:right="1148" w:bottom="9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3.08.%1"/>
      <w:rPr>
        <w:lang w:val="en-US" w:eastAsia="en-US" w:bidi="en-US"/>
        <w:b w:val="0"/>
        <w:bCs w:val="0"/>
        <w:i w:val="0"/>
        <w:iCs w:val="0"/>
        <w:u w:val="singl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0"/>
      <w:numFmt w:val="decimal"/>
      <w:lvlText w:val="2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">
    <w:name w:val="Основной текст (4) Exact"/>
    <w:basedOn w:val="CharStyle13"/>
    <w:rPr>
      <w:lang w:val="en-US" w:eastAsia="en-US" w:bidi="en-US"/>
      <w:u w:val="single"/>
      <w:sz w:val="21"/>
      <w:szCs w:val="21"/>
      <w:spacing w:val="2"/>
    </w:rPr>
  </w:style>
  <w:style w:type="character" w:customStyle="1" w:styleId="CharStyle8">
    <w:name w:val="Основной текст (4) + Полужирный,Интервал 0 pt Exact"/>
    <w:basedOn w:val="CharStyle13"/>
    <w:rPr>
      <w:b/>
      <w:bCs/>
      <w:sz w:val="21"/>
      <w:szCs w:val="21"/>
    </w:rPr>
  </w:style>
  <w:style w:type="character" w:customStyle="1" w:styleId="CharStyle9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2) + Не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2) + 10 pt,Не полужирный"/>
    <w:basedOn w:val="CharStyle9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8">
    <w:name w:val="Основной текст (4)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13"/>
    <w:pPr>
      <w:widowControl w:val="0"/>
      <w:shd w:val="clear" w:color="auto" w:fill="FFFFFF"/>
      <w:jc w:val="both"/>
      <w:spacing w:line="288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9"/>
    <w:pPr>
      <w:widowControl w:val="0"/>
      <w:shd w:val="clear" w:color="auto" w:fill="FFFFFF"/>
      <w:spacing w:line="235" w:lineRule="exact"/>
      <w:ind w:hanging="50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before="480" w:after="660" w:line="0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