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795" w:h="1098" w:wrap="around" w:vAnchor="text" w:hAnchor="margin" w:x="4531" w:y="6"/>
        <w:widowControl w:val="0"/>
        <w:keepNext w:val="0"/>
        <w:keepLines w:val="0"/>
        <w:shd w:val="clear" w:color="auto" w:fill="auto"/>
        <w:bidi w:val="0"/>
        <w:spacing w:before="0" w:after="271" w:line="240" w:lineRule="exact"/>
        <w:ind w:left="100" w:right="0" w:firstLine="0"/>
      </w:pPr>
      <w:r>
        <w:rPr>
          <w:lang w:val="ru-RU" w:eastAsia="ru-RU" w:bidi="ru-RU"/>
          <w:sz w:val="24"/>
          <w:szCs w:val="24"/>
          <w:w w:val="100"/>
          <w:spacing w:val="0"/>
          <w:color w:val="000000"/>
          <w:position w:val="0"/>
        </w:rPr>
        <w:t>ООО «Урал Контракт»</w:t>
      </w:r>
    </w:p>
    <w:p>
      <w:pPr>
        <w:pStyle w:val="Style5"/>
        <w:framePr w:w="4795" w:h="1098" w:wrap="around" w:vAnchor="text" w:hAnchor="margin" w:x="4531" w:y="6"/>
        <w:widowControl w:val="0"/>
        <w:keepNext w:val="0"/>
        <w:keepLines w:val="0"/>
        <w:shd w:val="clear" w:color="auto" w:fill="auto"/>
        <w:bidi w:val="0"/>
        <w:spacing w:before="0" w:after="0" w:line="278" w:lineRule="exact"/>
        <w:ind w:left="100" w:right="0" w:firstLine="0"/>
      </w:pPr>
      <w:r>
        <w:rPr>
          <w:rStyle w:val="CharStyle6"/>
          <w:spacing w:val="0"/>
        </w:rPr>
        <w:t>620075, г. Екатеринбург, ул. Горького д. 65, оф. 455</w:t>
      </w:r>
    </w:p>
    <w:p>
      <w:pPr>
        <w:pStyle w:val="Style7"/>
        <w:widowControl w:val="0"/>
        <w:keepNext w:val="0"/>
        <w:keepLines w:val="0"/>
        <w:shd w:val="clear" w:color="auto" w:fill="auto"/>
        <w:bidi w:val="0"/>
        <w:jc w:val="left"/>
        <w:spacing w:before="119" w:after="153"/>
        <w:ind w:left="40" w:right="40" w:firstLine="0"/>
      </w:pPr>
      <w:r>
        <w:rPr>
          <w:lang w:val="ru-RU" w:eastAsia="ru-RU" w:bidi="ru-RU"/>
          <w:w w:val="100"/>
          <w:spacing w:val="0"/>
          <w:color w:val="000000"/>
          <w:position w:val="0"/>
        </w:rPr>
        <w:t>ФЕДЕРАЛЬНАЯ АНТИМОНОПОЛЬНАЯ СЛУЖБА</w:t>
      </w:r>
    </w:p>
    <w:p>
      <w:pPr>
        <w:pStyle w:val="Style9"/>
        <w:widowControl w:val="0"/>
        <w:keepNext/>
        <w:keepLines/>
        <w:shd w:val="clear" w:color="auto" w:fill="auto"/>
        <w:bidi w:val="0"/>
        <w:jc w:val="left"/>
        <w:spacing w:before="0" w:after="141"/>
        <w:ind w:left="40" w:right="40" w:firstLine="0"/>
      </w:pPr>
      <w:bookmarkStart w:id="0" w:name="bookmark0"/>
      <w:r>
        <w:rPr>
          <w:lang w:val="ru-RU" w:eastAsia="ru-RU" w:bidi="ru-RU"/>
          <w:sz w:val="24"/>
          <w:szCs w:val="24"/>
          <w:w w:val="100"/>
          <w:spacing w:val="0"/>
          <w:color w:val="000000"/>
          <w:position w:val="0"/>
        </w:rPr>
        <w:t>УПРАВЛЕНИЕ по Тюменской области</w:t>
      </w:r>
      <w:bookmarkEnd w:id="0"/>
    </w:p>
    <w:p>
      <w:pPr>
        <w:pStyle w:val="Style11"/>
        <w:widowControl w:val="0"/>
        <w:keepNext w:val="0"/>
        <w:keepLines w:val="0"/>
        <w:shd w:val="clear" w:color="auto" w:fill="auto"/>
        <w:bidi w:val="0"/>
        <w:spacing w:before="0" w:after="0"/>
        <w:ind w:left="420" w:right="0" w:firstLine="0"/>
      </w:pPr>
      <w:r>
        <w:rPr>
          <w:lang w:val="ru-RU" w:eastAsia="ru-RU" w:bidi="ru-RU"/>
          <w:w w:val="100"/>
          <w:spacing w:val="0"/>
          <w:color w:val="000000"/>
          <w:position w:val="0"/>
        </w:rPr>
        <w:t xml:space="preserve">625048, г Тюмень, ул. Холодильная, 58а тел. (3452) 50-31-55, факс (3452) 50-59-14 </w:t>
      </w:r>
      <w:r>
        <w:rPr>
          <w:lang w:val="en-US" w:eastAsia="en-US" w:bidi="en-US"/>
          <w:w w:val="100"/>
          <w:spacing w:val="0"/>
          <w:color w:val="000000"/>
          <w:position w:val="0"/>
        </w:rPr>
        <w:t xml:space="preserve">e-mail: </w:t>
      </w:r>
      <w:r>
        <w:fldChar w:fldCharType="begin"/>
      </w:r>
      <w:r>
        <w:rPr>
          <w:color w:val="000000"/>
        </w:rPr>
        <w:instrText> HYPERLINK "mailto:to72@fas.gov.ru" </w:instrText>
      </w:r>
      <w:r>
        <w:fldChar w:fldCharType="separate"/>
      </w:r>
      <w:r>
        <w:rPr>
          <w:rStyle w:val="Hyperlink"/>
          <w:lang w:val="en-US" w:eastAsia="en-US" w:bidi="en-US"/>
          <w:w w:val="100"/>
          <w:spacing w:val="0"/>
          <w:position w:val="0"/>
        </w:rPr>
        <w:t>to72@fas.gov.ru</w:t>
      </w:r>
      <w:r>
        <w:fldChar w:fldCharType="end"/>
      </w:r>
    </w:p>
    <w:p>
      <w:pPr>
        <w:pStyle w:val="Style13"/>
        <w:tabs>
          <w:tab w:leader="underscore" w:pos="1931" w:val="center"/>
          <w:tab w:leader="underscore" w:pos="3856" w:val="left"/>
        </w:tabs>
        <w:widowControl w:val="0"/>
        <w:keepNext w:val="0"/>
        <w:keepLines w:val="0"/>
        <w:shd w:val="clear" w:color="auto" w:fill="auto"/>
        <w:bidi w:val="0"/>
        <w:jc w:val="left"/>
        <w:spacing w:before="0" w:after="396"/>
        <w:ind w:left="40" w:right="5500"/>
      </w:pPr>
      <w:r>
        <w:rPr>
          <w:lang w:val="ru-RU" w:eastAsia="ru-RU" w:bidi="ru-RU"/>
          <w:w w:val="100"/>
          <w:spacing w:val="0"/>
          <w:color w:val="000000"/>
          <w:position w:val="0"/>
        </w:rPr>
        <w:t>от 05.08.2020 № ИВ/5879 На №</w:t>
        <w:tab/>
        <w:t>от</w:t>
        <w:tab/>
      </w:r>
    </w:p>
    <w:p>
      <w:pPr>
        <w:pStyle w:val="Style5"/>
        <w:widowControl w:val="0"/>
        <w:keepNext w:val="0"/>
        <w:keepLines w:val="0"/>
        <w:shd w:val="clear" w:color="auto" w:fill="auto"/>
        <w:bidi w:val="0"/>
        <w:spacing w:before="0" w:after="288" w:line="220" w:lineRule="exact"/>
        <w:ind w:left="40" w:right="0" w:firstLine="0"/>
      </w:pPr>
      <w:r>
        <w:rPr>
          <w:lang w:val="ru-RU" w:eastAsia="ru-RU" w:bidi="ru-RU"/>
          <w:w w:val="100"/>
          <w:spacing w:val="0"/>
          <w:color w:val="000000"/>
          <w:position w:val="0"/>
        </w:rPr>
        <w:t>О возвращении жалобы</w:t>
      </w:r>
    </w:p>
    <w:p>
      <w:pPr>
        <w:pStyle w:val="Style5"/>
        <w:tabs>
          <w:tab w:leader="none" w:pos="7091" w:val="left"/>
        </w:tabs>
        <w:widowControl w:val="0"/>
        <w:keepNext w:val="0"/>
        <w:keepLines w:val="0"/>
        <w:shd w:val="clear" w:color="auto" w:fill="auto"/>
        <w:bidi w:val="0"/>
        <w:spacing w:before="0" w:after="0" w:line="269" w:lineRule="exact"/>
        <w:ind w:left="40" w:right="40" w:firstLine="700"/>
      </w:pPr>
      <w:r>
        <w:rPr>
          <w:lang w:val="ru-RU" w:eastAsia="ru-RU" w:bidi="ru-RU"/>
          <w:w w:val="100"/>
          <w:spacing w:val="0"/>
          <w:color w:val="000000"/>
          <w:position w:val="0"/>
        </w:rPr>
        <w:t>В Управление Федеральной антимонопольной службы по Тюменской области (далее - Тюменское УФАС России) 05.08.2020 (вх.№ 7882) поступила жалоба ООО «Урал Контракт» на действия заказчика администрация Нижнетавдинского муниципального района Тюменской области при проведении электронного аукциона на выполнение работ по объекту: «Установка станции подготовки питьевой воды малой производительности по адресу: Тюменская область, Нижнетавдинский район, д. Белая Дубрава, с. Канаш», «Установка станции подготовки питьевой воды малой производительности по адресу: Тюменская область, Нижнетавдинский район, с. Бухтал», «Установка станции подготовки питьевой воды малой производительности по адресу:</w:t>
        <w:tab/>
        <w:t>Тюменская область,</w:t>
      </w:r>
    </w:p>
    <w:p>
      <w:pPr>
        <w:pStyle w:val="Style5"/>
        <w:widowControl w:val="0"/>
        <w:keepNext w:val="0"/>
        <w:keepLines w:val="0"/>
        <w:shd w:val="clear" w:color="auto" w:fill="auto"/>
        <w:bidi w:val="0"/>
        <w:spacing w:before="0" w:after="0" w:line="269" w:lineRule="exact"/>
        <w:ind w:left="40" w:right="40" w:firstLine="0"/>
      </w:pPr>
      <w:r>
        <w:rPr>
          <w:lang w:val="ru-RU" w:eastAsia="ru-RU" w:bidi="ru-RU"/>
          <w:w w:val="100"/>
          <w:spacing w:val="0"/>
          <w:color w:val="000000"/>
          <w:position w:val="0"/>
        </w:rPr>
        <w:t>Нижнетавдинский район, д. Веселая Грива», «Установка станции подготовки питьевой воды малой производительности по адресу: Тюменская область, Нижнетавдинский район, п. Лесозаводский» (реестровый номер закупки 0167300017520000053).</w:t>
      </w:r>
    </w:p>
    <w:p>
      <w:pPr>
        <w:pStyle w:val="Style5"/>
        <w:widowControl w:val="0"/>
        <w:keepNext w:val="0"/>
        <w:keepLines w:val="0"/>
        <w:shd w:val="clear" w:color="auto" w:fill="auto"/>
        <w:bidi w:val="0"/>
        <w:spacing w:before="0" w:after="0" w:line="269" w:lineRule="exact"/>
        <w:ind w:left="40" w:right="40" w:firstLine="700"/>
      </w:pPr>
      <w:r>
        <w:rPr>
          <w:lang w:val="ru-RU" w:eastAsia="ru-RU" w:bidi="ru-RU"/>
          <w:w w:val="100"/>
          <w:spacing w:val="0"/>
          <w:color w:val="000000"/>
          <w:position w:val="0"/>
        </w:rPr>
        <w:t xml:space="preserve">В соответствии с частью 1 статьи 105 Закона о контрактной системе любой участник закупки имеют право обжаловать в контрольный орган в сфере закупок действия (бездействие) заказчика, </w:t>
      </w:r>
      <w:r>
        <w:rPr>
          <w:rStyle w:val="CharStyle16"/>
        </w:rPr>
        <w:t>если такие действия (бездействие) нарушают права и</w:t>
      </w:r>
      <w:r>
        <w:rPr>
          <w:rStyle w:val="CharStyle17"/>
        </w:rPr>
        <w:t xml:space="preserve"> </w:t>
      </w:r>
      <w:r>
        <w:rPr>
          <w:rStyle w:val="CharStyle16"/>
        </w:rPr>
        <w:t>законные интересы участника закупки</w:t>
      </w:r>
      <w:r>
        <w:rPr>
          <w:rStyle w:val="CharStyle17"/>
        </w:rPr>
        <w:t>.</w:t>
      </w:r>
    </w:p>
    <w:p>
      <w:pPr>
        <w:pStyle w:val="Style5"/>
        <w:widowControl w:val="0"/>
        <w:keepNext w:val="0"/>
        <w:keepLines w:val="0"/>
        <w:shd w:val="clear" w:color="auto" w:fill="auto"/>
        <w:bidi w:val="0"/>
        <w:spacing w:before="0" w:after="0" w:line="269" w:lineRule="exact"/>
        <w:ind w:left="40" w:right="40" w:firstLine="700"/>
      </w:pPr>
      <w:r>
        <w:rPr>
          <w:lang w:val="ru-RU" w:eastAsia="ru-RU" w:bidi="ru-RU"/>
          <w:w w:val="100"/>
          <w:spacing w:val="0"/>
          <w:color w:val="000000"/>
          <w:position w:val="0"/>
        </w:rPr>
        <w:t xml:space="preserve">Таким образом, Закон о контрактной системе предоставляет участникам закупки </w:t>
      </w:r>
      <w:r>
        <w:rPr>
          <w:rStyle w:val="CharStyle16"/>
        </w:rPr>
        <w:t>право на обжалование действий (бездействия)</w:t>
      </w:r>
      <w:r>
        <w:rPr>
          <w:rStyle w:val="CharStyle17"/>
        </w:rPr>
        <w:t xml:space="preserve"> </w:t>
      </w:r>
      <w:r>
        <w:rPr>
          <w:lang w:val="ru-RU" w:eastAsia="ru-RU" w:bidi="ru-RU"/>
          <w:w w:val="100"/>
          <w:spacing w:val="0"/>
          <w:color w:val="000000"/>
          <w:position w:val="0"/>
        </w:rPr>
        <w:t xml:space="preserve">заказчика при условии, если такие действия (бездействия) </w:t>
      </w:r>
      <w:r>
        <w:rPr>
          <w:rStyle w:val="CharStyle16"/>
        </w:rPr>
        <w:t>нарушают нрава и законные интересы участника закупки</w:t>
      </w:r>
      <w:r>
        <w:rPr>
          <w:rStyle w:val="CharStyle17"/>
        </w:rPr>
        <w:t>.</w:t>
      </w:r>
    </w:p>
    <w:p>
      <w:pPr>
        <w:pStyle w:val="Style5"/>
        <w:widowControl w:val="0"/>
        <w:keepNext w:val="0"/>
        <w:keepLines w:val="0"/>
        <w:shd w:val="clear" w:color="auto" w:fill="auto"/>
        <w:bidi w:val="0"/>
        <w:spacing w:before="0" w:after="0" w:line="269" w:lineRule="exact"/>
        <w:ind w:left="40" w:right="40" w:firstLine="700"/>
      </w:pPr>
      <w:r>
        <w:rPr>
          <w:lang w:val="ru-RU" w:eastAsia="ru-RU" w:bidi="ru-RU"/>
          <w:w w:val="100"/>
          <w:spacing w:val="0"/>
          <w:color w:val="000000"/>
          <w:position w:val="0"/>
        </w:rPr>
        <w:t xml:space="preserve">Федеральным законом от 08.08.2001 № 129-ФЗ «О государственной регистрации юридических лиц и индивидуальных предпринимателей» (далее - Федеральный закон № 129-ФЗ) регулируются отношения, возникающие в связи с государственной регистрацией юридических лиц при их создании, реорганизации и ликвидации, при внесении изменений в их учредительные документы, </w:t>
      </w:r>
      <w:r>
        <w:rPr>
          <w:rStyle w:val="CharStyle16"/>
        </w:rPr>
        <w:t>а также с ведением единого государственного реестра</w:t>
      </w:r>
      <w:r>
        <w:rPr>
          <w:rStyle w:val="CharStyle17"/>
        </w:rPr>
        <w:t xml:space="preserve"> </w:t>
      </w:r>
      <w:r>
        <w:rPr>
          <w:rStyle w:val="CharStyle16"/>
        </w:rPr>
        <w:t>юридических лиц</w:t>
      </w:r>
      <w:r>
        <w:rPr>
          <w:rStyle w:val="CharStyle17"/>
        </w:rPr>
        <w:t>.</w:t>
      </w:r>
    </w:p>
    <w:p>
      <w:pPr>
        <w:pStyle w:val="Style5"/>
        <w:widowControl w:val="0"/>
        <w:keepNext w:val="0"/>
        <w:keepLines w:val="0"/>
        <w:shd w:val="clear" w:color="auto" w:fill="auto"/>
        <w:bidi w:val="0"/>
        <w:spacing w:before="0" w:after="0" w:line="269" w:lineRule="exact"/>
        <w:ind w:left="40" w:right="40" w:firstLine="700"/>
      </w:pPr>
      <w:r>
        <w:rPr>
          <w:lang w:val="ru-RU" w:eastAsia="ru-RU" w:bidi="ru-RU"/>
          <w:w w:val="100"/>
          <w:spacing w:val="0"/>
          <w:color w:val="000000"/>
          <w:position w:val="0"/>
        </w:rPr>
        <w:t xml:space="preserve">Статьёй 1 Федерального закона от 08.08.2001 № 129-ФЗ установлено, что законодательство Российской Федерации о государственной регистрации состоит из </w:t>
      </w:r>
      <w:r>
        <w:rPr>
          <w:rStyle w:val="CharStyle18"/>
        </w:rPr>
        <w:t>Гражданского кодекса РФ. Федерального закона № 129-ФЗ</w:t>
      </w:r>
      <w:r>
        <w:rPr>
          <w:lang w:val="ru-RU" w:eastAsia="ru-RU" w:bidi="ru-RU"/>
          <w:w w:val="100"/>
          <w:spacing w:val="0"/>
          <w:color w:val="000000"/>
          <w:position w:val="0"/>
        </w:rPr>
        <w:t xml:space="preserve"> и издаваемых в соответствии с ними иных нормативных правовых актов Российской Федерации.</w:t>
      </w:r>
    </w:p>
    <w:p>
      <w:pPr>
        <w:pStyle w:val="Style5"/>
        <w:widowControl w:val="0"/>
        <w:keepNext w:val="0"/>
        <w:keepLines w:val="0"/>
        <w:shd w:val="clear" w:color="auto" w:fill="auto"/>
        <w:bidi w:val="0"/>
        <w:spacing w:before="0" w:after="0" w:line="269" w:lineRule="exact"/>
        <w:ind w:left="40" w:right="40" w:firstLine="700"/>
      </w:pPr>
      <w:r>
        <w:rPr>
          <w:lang w:val="ru-RU" w:eastAsia="ru-RU" w:bidi="ru-RU"/>
          <w:w w:val="100"/>
          <w:spacing w:val="0"/>
          <w:color w:val="000000"/>
          <w:position w:val="0"/>
        </w:rPr>
        <w:t>В соответствии с пунктом 2 статьи 51 Гражданского кодекса РФ данные государственной регистрации включаются в единый государственный реестр юридических лиц, открытый для всеобщего ознакомления. Лицо, добросовестно полагающееся на данные единого государственного реестра юридических лиц, вправе исходить из того, что они соответствуют действительным обстоятельствам. Юридическое лицо не вправе в отношениях с лицом, полагавшимся на данные единого</w:t>
        <w:br w:type="page"/>
        <w:t>государственного реестра юридических лиц, ссылаться на данные, не включенные в указанный реестр, а также на недостоверность данных, содержащихся в нем, за исключением случаев, если соответствующие данные включены в указанный реестр в результате неправомерных действий третьих лиц или иным путем помимо воли юридического лица.</w:t>
      </w:r>
    </w:p>
    <w:p>
      <w:pPr>
        <w:pStyle w:val="Style7"/>
        <w:widowControl w:val="0"/>
        <w:keepNext w:val="0"/>
        <w:keepLines w:val="0"/>
        <w:shd w:val="clear" w:color="auto" w:fill="auto"/>
        <w:bidi w:val="0"/>
        <w:jc w:val="both"/>
        <w:spacing w:before="0" w:after="0"/>
        <w:ind w:left="40" w:right="40" w:firstLine="700"/>
      </w:pPr>
      <w:r>
        <w:rPr>
          <w:rStyle w:val="CharStyle19"/>
          <w:b w:val="0"/>
          <w:bCs w:val="0"/>
        </w:rPr>
        <w:t xml:space="preserve">В соответствии с пунктом 3 статьи 54 Гражданского кодекса РФ </w:t>
      </w:r>
      <w:r>
        <w:rPr>
          <w:rStyle w:val="CharStyle20"/>
          <w:b/>
          <w:bCs/>
        </w:rPr>
        <w:t>в ЕГРЮЛ должен</w:t>
      </w:r>
      <w:r>
        <w:rPr>
          <w:lang w:val="ru-RU" w:eastAsia="ru-RU" w:bidi="ru-RU"/>
          <w:w w:val="100"/>
          <w:spacing w:val="0"/>
          <w:color w:val="000000"/>
          <w:position w:val="0"/>
        </w:rPr>
        <w:t xml:space="preserve"> </w:t>
      </w:r>
      <w:r>
        <w:rPr>
          <w:rStyle w:val="CharStyle20"/>
          <w:b/>
          <w:bCs/>
        </w:rPr>
        <w:t>быть указан адрес юридического лица в пределах места нахождения юридического</w:t>
      </w:r>
      <w:r>
        <w:rPr>
          <w:lang w:val="ru-RU" w:eastAsia="ru-RU" w:bidi="ru-RU"/>
          <w:w w:val="100"/>
          <w:spacing w:val="0"/>
          <w:color w:val="000000"/>
          <w:position w:val="0"/>
        </w:rPr>
        <w:t xml:space="preserve"> </w:t>
      </w:r>
      <w:r>
        <w:rPr>
          <w:rStyle w:val="CharStyle20"/>
          <w:b/>
          <w:bCs/>
        </w:rPr>
        <w:t>лица</w:t>
      </w:r>
      <w:r>
        <w:rPr>
          <w:lang w:val="ru-RU" w:eastAsia="ru-RU" w:bidi="ru-RU"/>
          <w:w w:val="100"/>
          <w:spacing w:val="0"/>
          <w:color w:val="000000"/>
          <w:position w:val="0"/>
        </w:rPr>
        <w:t>.</w:t>
      </w:r>
    </w:p>
    <w:p>
      <w:pPr>
        <w:pStyle w:val="Style5"/>
        <w:widowControl w:val="0"/>
        <w:keepNext w:val="0"/>
        <w:keepLines w:val="0"/>
        <w:shd w:val="clear" w:color="auto" w:fill="auto"/>
        <w:bidi w:val="0"/>
        <w:spacing w:before="0" w:after="0" w:line="274" w:lineRule="exact"/>
        <w:ind w:left="40" w:right="40" w:firstLine="700"/>
      </w:pPr>
      <w:r>
        <w:rPr>
          <w:lang w:val="ru-RU" w:eastAsia="ru-RU" w:bidi="ru-RU"/>
          <w:w w:val="100"/>
          <w:spacing w:val="0"/>
          <w:color w:val="000000"/>
          <w:position w:val="0"/>
        </w:rPr>
        <w:t>В поступившей жалобе содержится указание на следующий адрес, по которому находится юридическое лицо: 620075, г. Екатеринбург, ул. Горького д. 65, оф. 455.</w:t>
      </w:r>
    </w:p>
    <w:p>
      <w:pPr>
        <w:pStyle w:val="Style5"/>
        <w:widowControl w:val="0"/>
        <w:keepNext w:val="0"/>
        <w:keepLines w:val="0"/>
        <w:shd w:val="clear" w:color="auto" w:fill="auto"/>
        <w:bidi w:val="0"/>
        <w:spacing w:before="0" w:after="0" w:line="274" w:lineRule="exact"/>
        <w:ind w:left="40" w:right="40" w:firstLine="700"/>
      </w:pPr>
      <w:r>
        <w:rPr>
          <w:lang w:val="ru-RU" w:eastAsia="ru-RU" w:bidi="ru-RU"/>
          <w:w w:val="100"/>
          <w:spacing w:val="0"/>
          <w:color w:val="000000"/>
          <w:position w:val="0"/>
        </w:rPr>
        <w:t>Между тем, при проверке Единого государственного реестра юридических лиц (далее по тексту - ЕГРЮЛ) установлено, что 31.12.2019 Инспекцией ФНС России по Верх-Исетскому району г. Екатеринбурга (Единым Регистрационным Центром) внесена запись (ГРН 7196658007682) о недостоверности сведений о юридическом лице, в части юридического адреса.</w:t>
      </w:r>
    </w:p>
    <w:p>
      <w:pPr>
        <w:pStyle w:val="Style5"/>
        <w:widowControl w:val="0"/>
        <w:keepNext w:val="0"/>
        <w:keepLines w:val="0"/>
        <w:shd w:val="clear" w:color="auto" w:fill="auto"/>
        <w:bidi w:val="0"/>
        <w:spacing w:before="0" w:after="0" w:line="274" w:lineRule="exact"/>
        <w:ind w:left="40" w:right="40" w:firstLine="700"/>
      </w:pPr>
      <w:r>
        <w:rPr>
          <w:lang w:val="ru-RU" w:eastAsia="ru-RU" w:bidi="ru-RU"/>
          <w:w w:val="100"/>
          <w:spacing w:val="0"/>
          <w:color w:val="000000"/>
          <w:position w:val="0"/>
        </w:rPr>
        <w:t>Следовательно, ООО «Урал Контракт» при подаче жалобы было нарушено требование пункта 2 части 8 статьи 105 Закона о контрактной системе, что выразилось в несоблюдении требований к содержанию жалобы, а именно в указании недостоверных сведений о месте нахождения лица, подавшего жалобу.</w:t>
      </w:r>
    </w:p>
    <w:p>
      <w:pPr>
        <w:pStyle w:val="Style5"/>
        <w:widowControl w:val="0"/>
        <w:keepNext w:val="0"/>
        <w:keepLines w:val="0"/>
        <w:shd w:val="clear" w:color="auto" w:fill="auto"/>
        <w:bidi w:val="0"/>
        <w:spacing w:before="0" w:after="0" w:line="274" w:lineRule="exact"/>
        <w:ind w:left="40" w:right="40" w:firstLine="700"/>
      </w:pPr>
      <w:r>
        <w:rPr>
          <w:lang w:val="ru-RU" w:eastAsia="ru-RU" w:bidi="ru-RU"/>
          <w:w w:val="100"/>
          <w:spacing w:val="0"/>
          <w:color w:val="000000"/>
          <w:position w:val="0"/>
        </w:rPr>
        <w:t>В соответствии с пунктом 1 части 11 статьи 105 Закона о контрактной системе жалоба возвращается подавшему ее лицу без рассмотрения в случае, если жалоба не соответствует требованиям, установленным указанной статьёй.</w:t>
      </w:r>
    </w:p>
    <w:p>
      <w:pPr>
        <w:pStyle w:val="Style5"/>
        <w:widowControl w:val="0"/>
        <w:keepNext w:val="0"/>
        <w:keepLines w:val="0"/>
        <w:shd w:val="clear" w:color="auto" w:fill="auto"/>
        <w:bidi w:val="0"/>
        <w:spacing w:before="0" w:after="0" w:line="274" w:lineRule="exact"/>
        <w:ind w:left="40" w:right="40" w:firstLine="700"/>
      </w:pPr>
      <w:r>
        <w:rPr>
          <w:lang w:val="ru-RU" w:eastAsia="ru-RU" w:bidi="ru-RU"/>
          <w:w w:val="100"/>
          <w:spacing w:val="0"/>
          <w:color w:val="000000"/>
          <w:position w:val="0"/>
        </w:rPr>
        <w:t>Учитывая изложенное, руководствуясь пунктом 1 части 11 статьи 105 Закона о контрактной системе, Тюменским УФАС России принято решение о возвращении жалобы заявителю без рассмотрения по существу.</w:t>
      </w:r>
    </w:p>
    <w:p>
      <w:pPr>
        <w:pStyle w:val="Style5"/>
        <w:framePr w:h="216" w:wrap="around" w:vAnchor="text" w:hAnchor="margin" w:x="7389" w:y="1604"/>
        <w:widowControl w:val="0"/>
        <w:keepNext w:val="0"/>
        <w:keepLines w:val="0"/>
        <w:shd w:val="clear" w:color="auto" w:fill="auto"/>
        <w:bidi w:val="0"/>
        <w:jc w:val="left"/>
        <w:spacing w:before="0" w:after="0" w:line="210" w:lineRule="exact"/>
        <w:ind w:left="100" w:right="0" w:firstLine="0"/>
      </w:pPr>
      <w:r>
        <w:rPr>
          <w:rStyle w:val="CharStyle6"/>
          <w:spacing w:val="0"/>
        </w:rPr>
        <w:t>И.В. Веретенников</w:t>
      </w:r>
    </w:p>
    <w:p>
      <w:pPr>
        <w:pStyle w:val="Style5"/>
        <w:widowControl w:val="0"/>
        <w:keepNext w:val="0"/>
        <w:keepLines w:val="0"/>
        <w:shd w:val="clear" w:color="auto" w:fill="auto"/>
        <w:bidi w:val="0"/>
        <w:spacing w:before="0" w:after="0" w:line="274" w:lineRule="exact"/>
        <w:ind w:left="40" w:right="40" w:firstLine="700"/>
      </w:pPr>
      <w:r>
        <w:rPr>
          <w:lang w:val="ru-RU" w:eastAsia="ru-RU" w:bidi="ru-RU"/>
          <w:w w:val="100"/>
          <w:spacing w:val="0"/>
          <w:color w:val="000000"/>
          <w:position w:val="0"/>
        </w:rPr>
        <w:t>На основании части 14 статьи 105 Закона о контрактной системе, решение о возвращении жалобы может быть обжаловано в судебном порядке.</w:t>
      </w:r>
    </w:p>
    <w:p>
      <w:pPr>
        <w:pStyle w:val="Style5"/>
        <w:widowControl w:val="0"/>
        <w:keepNext w:val="0"/>
        <w:keepLines w:val="0"/>
        <w:shd w:val="clear" w:color="auto" w:fill="auto"/>
        <w:bidi w:val="0"/>
        <w:spacing w:before="0" w:after="5670" w:line="220" w:lineRule="exact"/>
        <w:ind w:left="40" w:right="0" w:firstLine="0"/>
      </w:pPr>
      <w:r>
        <w:rPr>
          <w:lang w:val="ru-RU" w:eastAsia="ru-RU" w:bidi="ru-RU"/>
          <w:w w:val="100"/>
          <w:spacing w:val="0"/>
          <w:color w:val="000000"/>
          <w:position w:val="0"/>
        </w:rPr>
        <w:t>Руководитель управления</w:t>
      </w:r>
    </w:p>
    <w:p>
      <w:pPr>
        <w:pStyle w:val="Style11"/>
        <w:widowControl w:val="0"/>
        <w:keepNext w:val="0"/>
        <w:keepLines w:val="0"/>
        <w:shd w:val="clear" w:color="auto" w:fill="auto"/>
        <w:bidi w:val="0"/>
        <w:jc w:val="left"/>
        <w:spacing w:before="0" w:after="0" w:line="226" w:lineRule="exact"/>
        <w:ind w:left="140" w:right="7940" w:firstLine="0"/>
      </w:pPr>
      <w:r>
        <w:rPr>
          <w:lang w:val="ru-RU" w:eastAsia="ru-RU" w:bidi="ru-RU"/>
          <w:w w:val="100"/>
          <w:spacing w:val="0"/>
          <w:color w:val="000000"/>
          <w:position w:val="0"/>
        </w:rPr>
        <w:t>И.Г. Назаров 8(3452)50-56-71</w:t>
      </w:r>
    </w:p>
    <w:sectPr>
      <w:footnotePr>
        <w:pos w:val="pageBottom"/>
        <w:numFmt w:val="decimal"/>
        <w:numRestart w:val="continuous"/>
      </w:footnotePr>
      <w:type w:val="continuous"/>
      <w:pgSz w:w="11906" w:h="16838"/>
      <w:pgMar w:top="892" w:left="1237" w:right="1242" w:bottom="92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5) Exact"/>
    <w:basedOn w:val="DefaultParagraphFont"/>
    <w:link w:val="Style3"/>
    <w:rPr>
      <w:b w:val="0"/>
      <w:bCs w:val="0"/>
      <w:i w:val="0"/>
      <w:iCs w:val="0"/>
      <w:u w:val="none"/>
      <w:strike w:val="0"/>
      <w:smallCaps w:val="0"/>
      <w:rFonts w:ascii="Times New Roman" w:eastAsia="Times New Roman" w:hAnsi="Times New Roman" w:cs="Times New Roman"/>
      <w:spacing w:val="6"/>
    </w:rPr>
  </w:style>
  <w:style w:type="character" w:customStyle="1" w:styleId="CharStyle6">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3"/>
    </w:rPr>
  </w:style>
  <w:style w:type="character" w:customStyle="1" w:styleId="CharStyle8">
    <w:name w:val="Основной текст (2)_"/>
    <w:basedOn w:val="DefaultParagraphFont"/>
    <w:link w:val="Style7"/>
    <w:rPr>
      <w:b/>
      <w:bCs/>
      <w:i w:val="0"/>
      <w:iCs w:val="0"/>
      <w:u w:val="none"/>
      <w:strike w:val="0"/>
      <w:smallCaps w:val="0"/>
      <w:sz w:val="22"/>
      <w:szCs w:val="22"/>
      <w:rFonts w:ascii="Times New Roman" w:eastAsia="Times New Roman" w:hAnsi="Times New Roman" w:cs="Times New Roman"/>
    </w:rPr>
  </w:style>
  <w:style w:type="character" w:customStyle="1" w:styleId="CharStyle10">
    <w:name w:val="Заголовок №1_"/>
    <w:basedOn w:val="DefaultParagraphFont"/>
    <w:link w:val="Style9"/>
    <w:rPr>
      <w:b/>
      <w:bCs/>
      <w:i w:val="0"/>
      <w:iCs w:val="0"/>
      <w:u w:val="none"/>
      <w:strike w:val="0"/>
      <w:smallCaps w:val="0"/>
      <w:rFonts w:ascii="Times New Roman" w:eastAsia="Times New Roman" w:hAnsi="Times New Roman" w:cs="Times New Roman"/>
    </w:rPr>
  </w:style>
  <w:style w:type="character" w:customStyle="1" w:styleId="CharStyle12">
    <w:name w:val="Основной текст (3)_"/>
    <w:basedOn w:val="DefaultParagraphFont"/>
    <w:link w:val="Style11"/>
    <w:rPr>
      <w:b/>
      <w:bCs/>
      <w:i w:val="0"/>
      <w:iCs w:val="0"/>
      <w:u w:val="none"/>
      <w:strike w:val="0"/>
      <w:smallCaps w:val="0"/>
      <w:sz w:val="15"/>
      <w:szCs w:val="15"/>
      <w:rFonts w:ascii="Times New Roman" w:eastAsia="Times New Roman" w:hAnsi="Times New Roman" w:cs="Times New Roman"/>
    </w:rPr>
  </w:style>
  <w:style w:type="character" w:customStyle="1" w:styleId="CharStyle14">
    <w:name w:val="Основной текст (4)_"/>
    <w:basedOn w:val="DefaultParagraphFont"/>
    <w:link w:val="Style13"/>
    <w:rPr>
      <w:b/>
      <w:bCs/>
      <w:i w:val="0"/>
      <w:iCs w:val="0"/>
      <w:u w:val="none"/>
      <w:strike w:val="0"/>
      <w:smallCaps w:val="0"/>
      <w:sz w:val="19"/>
      <w:szCs w:val="19"/>
      <w:rFonts w:ascii="Times New Roman" w:eastAsia="Times New Roman" w:hAnsi="Times New Roman" w:cs="Times New Roman"/>
    </w:rPr>
  </w:style>
  <w:style w:type="character" w:customStyle="1" w:styleId="CharStyle15">
    <w:name w:val="Основной текст_"/>
    <w:basedOn w:val="DefaultParagraphFont"/>
    <w:link w:val="Style5"/>
    <w:rPr>
      <w:b w:val="0"/>
      <w:bCs w:val="0"/>
      <w:i w:val="0"/>
      <w:iCs w:val="0"/>
      <w:u w:val="none"/>
      <w:strike w:val="0"/>
      <w:smallCaps w:val="0"/>
      <w:sz w:val="22"/>
      <w:szCs w:val="22"/>
      <w:rFonts w:ascii="Times New Roman" w:eastAsia="Times New Roman" w:hAnsi="Times New Roman" w:cs="Times New Roman"/>
    </w:rPr>
  </w:style>
  <w:style w:type="character" w:customStyle="1" w:styleId="CharStyle16">
    <w:name w:val="Основной текст + Полужирный"/>
    <w:basedOn w:val="CharStyle15"/>
    <w:rPr>
      <w:lang w:val="ru-RU" w:eastAsia="ru-RU" w:bidi="ru-RU"/>
      <w:b/>
      <w:bCs/>
      <w:u w:val="single"/>
      <w:w w:val="100"/>
      <w:spacing w:val="0"/>
      <w:color w:val="000000"/>
      <w:position w:val="0"/>
    </w:rPr>
  </w:style>
  <w:style w:type="character" w:customStyle="1" w:styleId="CharStyle17">
    <w:name w:val="Основной текст + Полужирный"/>
    <w:basedOn w:val="CharStyle15"/>
    <w:rPr>
      <w:lang w:val="ru-RU" w:eastAsia="ru-RU" w:bidi="ru-RU"/>
      <w:b/>
      <w:bCs/>
      <w:w w:val="100"/>
      <w:spacing w:val="0"/>
      <w:color w:val="000000"/>
      <w:position w:val="0"/>
    </w:rPr>
  </w:style>
  <w:style w:type="character" w:customStyle="1" w:styleId="CharStyle18">
    <w:name w:val="Основной текст"/>
    <w:basedOn w:val="CharStyle15"/>
    <w:rPr>
      <w:lang w:val="ru-RU" w:eastAsia="ru-RU" w:bidi="ru-RU"/>
      <w:u w:val="single"/>
      <w:w w:val="100"/>
      <w:spacing w:val="0"/>
      <w:color w:val="000000"/>
      <w:position w:val="0"/>
    </w:rPr>
  </w:style>
  <w:style w:type="character" w:customStyle="1" w:styleId="CharStyle19">
    <w:name w:val="Основной текст (2) + Не полужирный"/>
    <w:basedOn w:val="CharStyle8"/>
    <w:rPr>
      <w:lang w:val="ru-RU" w:eastAsia="ru-RU" w:bidi="ru-RU"/>
      <w:b/>
      <w:bCs/>
      <w:w w:val="100"/>
      <w:spacing w:val="0"/>
      <w:color w:val="000000"/>
      <w:position w:val="0"/>
    </w:rPr>
  </w:style>
  <w:style w:type="character" w:customStyle="1" w:styleId="CharStyle20">
    <w:name w:val="Основной текст (2)"/>
    <w:basedOn w:val="CharStyle8"/>
    <w:rPr>
      <w:lang w:val="ru-RU" w:eastAsia="ru-RU" w:bidi="ru-RU"/>
      <w:u w:val="single"/>
      <w:w w:val="100"/>
      <w:spacing w:val="0"/>
      <w:color w:val="000000"/>
      <w:position w:val="0"/>
    </w:rPr>
  </w:style>
  <w:style w:type="paragraph" w:customStyle="1" w:styleId="Style3">
    <w:name w:val="Основной текст (5)"/>
    <w:basedOn w:val="Normal"/>
    <w:link w:val="CharStyle4"/>
    <w:pPr>
      <w:widowControl w:val="0"/>
      <w:shd w:val="clear" w:color="auto" w:fill="FFFFFF"/>
      <w:jc w:val="both"/>
      <w:spacing w:after="360" w:line="0" w:lineRule="exact"/>
    </w:pPr>
    <w:rPr>
      <w:b w:val="0"/>
      <w:bCs w:val="0"/>
      <w:i w:val="0"/>
      <w:iCs w:val="0"/>
      <w:u w:val="none"/>
      <w:strike w:val="0"/>
      <w:smallCaps w:val="0"/>
      <w:rFonts w:ascii="Times New Roman" w:eastAsia="Times New Roman" w:hAnsi="Times New Roman" w:cs="Times New Roman"/>
      <w:spacing w:val="6"/>
    </w:rPr>
  </w:style>
  <w:style w:type="paragraph" w:customStyle="1" w:styleId="Style5">
    <w:name w:val="Основной текст"/>
    <w:basedOn w:val="Normal"/>
    <w:link w:val="CharStyle15"/>
    <w:pPr>
      <w:widowControl w:val="0"/>
      <w:shd w:val="clear" w:color="auto" w:fill="FFFFFF"/>
      <w:jc w:val="both"/>
      <w:spacing w:before="180" w:after="36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180" w:after="180" w:line="274" w:lineRule="exact"/>
    </w:pPr>
    <w:rPr>
      <w:b/>
      <w:bCs/>
      <w:i w:val="0"/>
      <w:iCs w:val="0"/>
      <w:u w:val="none"/>
      <w:strike w:val="0"/>
      <w:smallCaps w:val="0"/>
      <w:sz w:val="22"/>
      <w:szCs w:val="22"/>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outlineLvl w:val="0"/>
      <w:spacing w:before="180" w:after="60" w:line="307" w:lineRule="exact"/>
    </w:pPr>
    <w:rPr>
      <w:b/>
      <w:bCs/>
      <w:i w:val="0"/>
      <w:iCs w:val="0"/>
      <w:u w:val="none"/>
      <w:strike w:val="0"/>
      <w:smallCaps w:val="0"/>
      <w:rFonts w:ascii="Times New Roman" w:eastAsia="Times New Roman" w:hAnsi="Times New Roman" w:cs="Times New Roman"/>
    </w:rPr>
  </w:style>
  <w:style w:type="paragraph" w:customStyle="1" w:styleId="Style11">
    <w:name w:val="Основной текст (3)"/>
    <w:basedOn w:val="Normal"/>
    <w:link w:val="CharStyle12"/>
    <w:pPr>
      <w:widowControl w:val="0"/>
      <w:shd w:val="clear" w:color="auto" w:fill="FFFFFF"/>
      <w:jc w:val="center"/>
      <w:spacing w:before="60" w:after="180" w:line="206" w:lineRule="exact"/>
    </w:pPr>
    <w:rPr>
      <w:b/>
      <w:bCs/>
      <w:i w:val="0"/>
      <w:iCs w:val="0"/>
      <w:u w:val="none"/>
      <w:strike w:val="0"/>
      <w:smallCaps w:val="0"/>
      <w:sz w:val="15"/>
      <w:szCs w:val="15"/>
      <w:rFonts w:ascii="Times New Roman" w:eastAsia="Times New Roman" w:hAnsi="Times New Roman" w:cs="Times New Roman"/>
    </w:rPr>
  </w:style>
  <w:style w:type="paragraph" w:customStyle="1" w:styleId="Style13">
    <w:name w:val="Основной текст (4)"/>
    <w:basedOn w:val="Normal"/>
    <w:link w:val="CharStyle14"/>
    <w:pPr>
      <w:widowControl w:val="0"/>
      <w:shd w:val="clear" w:color="auto" w:fill="FFFFFF"/>
      <w:spacing w:before="180" w:after="180" w:line="490" w:lineRule="exact"/>
      <w:ind w:firstLine="760"/>
    </w:pPr>
    <w:rPr>
      <w:b/>
      <w:bCs/>
      <w:i w:val="0"/>
      <w:iCs w:val="0"/>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