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27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31" w:line="240" w:lineRule="exact"/>
        <w:ind w:left="0" w:right="0" w:firstLine="0"/>
      </w:pPr>
      <w:r>
        <w:rPr>
          <w:rStyle w:val="CharStyle8"/>
        </w:rPr>
        <w:t>УПРАВЛЕНИЕ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66" w:lineRule="exact"/>
        <w:ind w:left="0" w:right="0" w:firstLine="0"/>
      </w:pPr>
      <w:r>
        <w:rPr>
          <w:rStyle w:val="CharStyle8"/>
        </w:rPr>
        <w:t>Федеральной антимонопольной службы по Республике Адыгея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02" w:line="244" w:lineRule="exact"/>
        <w:ind w:left="0" w:right="0" w:firstLine="0"/>
      </w:pPr>
      <w:r>
        <w:rPr>
          <w:rStyle w:val="CharStyle5"/>
          <w:b/>
          <w:bCs/>
        </w:rPr>
        <w:t>МОНОПОЛИЕЙ ПЭШ1УЕКЮРЭ ФЕДЕРАЛЬНО КЪУЛЫКЪУР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66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615" w:left="1202" w:right="1473" w:bottom="974" w:header="0" w:footer="3" w:gutter="0"/>
          <w:rtlGutter w:val="0"/>
          <w:cols w:num="2" w:space="2288"/>
          <w:noEndnote/>
          <w:docGrid w:linePitch="360"/>
        </w:sectPr>
      </w:pPr>
      <w:r>
        <w:rPr>
          <w:rStyle w:val="CharStyle8"/>
        </w:rPr>
        <w:t>Монополией пэш1уек1орэ Федерально къулыкъум Адыгэ РеспубликэмкЬ и Гъэ1орыш1ап1</w:t>
      </w:r>
    </w:p>
    <w:p>
      <w:pPr>
        <w:widowControl w:val="0"/>
        <w:spacing w:line="216" w:lineRule="exact"/>
        <w:rPr>
          <w:sz w:val="17"/>
          <w:szCs w:val="1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1"/>
        </w:rPr>
        <w:t xml:space="preserve">ул. Ленина, 40, г. Майкоп, 385000 Тел./фг кс: (8772) 57-05-22 е-та(1: </w:t>
      </w:r>
      <w:r>
        <w:fldChar w:fldCharType="begin"/>
      </w:r>
      <w:r>
        <w:rPr>
          <w:rStyle w:val="CharStyle11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to01@fas.gov.ru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1906" w:h="16838"/>
          <w:pgMar w:top="1615" w:left="1761" w:right="1693" w:bottom="974" w:header="0" w:footer="3" w:gutter="0"/>
          <w:rtlGutter w:val="0"/>
          <w:cols w:num="2" w:space="720" w:equalWidth="0">
            <w:col w:w="2406" w:space="3043"/>
            <w:col w:w="3002"/>
          </w:cols>
          <w:noEndnote/>
          <w:docGrid w:linePitch="360"/>
        </w:sectPr>
      </w:pPr>
      <w:r>
        <w:rPr>
          <w:rStyle w:val="CharStyle11"/>
        </w:rPr>
        <w:t xml:space="preserve">Лениным иур, 40, къ. Мыекъуапэ, 385000 Тел./факс: (8772) 57-05-22 </w:t>
      </w:r>
      <w:r>
        <w:rPr>
          <w:rStyle w:val="CharStyle11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to01@fas.gov.ru</w:t>
      </w:r>
      <w:r>
        <w:fldChar w:fldCharType="end"/>
      </w:r>
    </w:p>
    <w:p>
      <w:pPr>
        <w:widowControl w:val="0"/>
        <w:spacing w:line="220" w:lineRule="exact"/>
        <w:rPr>
          <w:sz w:val="18"/>
          <w:szCs w:val="18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tabs>
          <w:tab w:leader="none" w:pos="4282" w:val="right"/>
          <w:tab w:leader="none" w:pos="6056" w:val="right"/>
          <w:tab w:leader="none" w:pos="754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120" w:right="0" w:firstLine="0"/>
      </w:pPr>
      <w:r>
        <w:rPr>
          <w:rStyle w:val="CharStyle16"/>
        </w:rPr>
        <w:t>р</w:t>
      </w:r>
      <w:r>
        <w:rPr>
          <w:rStyle w:val="CharStyle17"/>
        </w:rPr>
        <w:t xml:space="preserve"> / у ,</w:t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</w:t>
        <w:tab/>
        <w:t>«Эффективные</w:t>
        <w:tab/>
        <w:t>технологии»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44" w:line="302" w:lineRule="exact"/>
        <w:ind w:left="37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443122, город Самара, улица Ташкентская, дом 171, литера ГГ1, каб. 305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8"/>
        </w:rPr>
        <w:instrText> HYPERLINK "mailto:antonov.sam@gmail.com" </w:instrText>
      </w:r>
      <w:r>
        <w:fldChar w:fldCharType="separate"/>
      </w:r>
      <w:r>
        <w:rPr>
          <w:rStyle w:val="Hyperlink"/>
        </w:rPr>
        <w:t>antonov.sam@gmail.com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37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ГКУ РА «ЦБДД РА»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37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385000, город Майкоп, улица Ленина, дом 40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40" w:line="298" w:lineRule="exact"/>
        <w:ind w:left="3720" w:right="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"mailto:cbdd_ra@mail.ru"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cbdd_ra@mail.ru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33" w:line="298" w:lineRule="exact"/>
        <w:ind w:left="37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Комитету Республики Адыгея по регулированию контрактной системы в сфере закупок 385000, г. Майкоп, ул. Советская, 176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"mailto:info@zakupkira.ru"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info@zakupkira.ru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37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Оператору электронной площадки З АО «Сбербанк - АСТ»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90" w:line="302" w:lineRule="exact"/>
        <w:ind w:left="37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119435, г. Москва, Большой Саввинский переулок, дом 12, строение 9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</w:t>
      </w:r>
    </w:p>
    <w:p>
      <w:pPr>
        <w:pStyle w:val="Style6"/>
        <w:framePr w:h="229" w:wrap="around" w:vAnchor="text" w:hAnchor="margin" w:x="7910" w:y="702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2"/>
          <w:spacing w:val="0"/>
        </w:rPr>
        <w:t>г. Майкоп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10" w:line="302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делу №001/06/33-368/2020 о нарушении законодательства о контрактной системе в сфере закупок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176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03 августа 2020 года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1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Резолютивная часть оглашена: 31.07.2020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148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в полном объеме изготовлено: 03.08.2020</w:t>
      </w:r>
    </w:p>
    <w:p>
      <w:pPr>
        <w:pStyle w:val="Style6"/>
        <w:tabs>
          <w:tab w:leader="none" w:pos="2701" w:val="right"/>
          <w:tab w:leader="none" w:pos="299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Адыгея по контролю в сфере закупок (далее - Комиссия У ФАС) в составе:</w:t>
        <w:tab/>
        <w:t>председателя</w:t>
        <w:tab/>
        <w:t>Комиссии У ФАС - Женетля АЛЛ., заместитель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руководителя Управления, членов Комиссии УФАС: Вдовиной О.Ю., начальника отдела Управления, Блягоза Р.Х., и Пшизова М.А., ведущих специалистов- экспертов Управления, с участием представителей: Заказчика - Государственного казенного учреждения Республики Адыгея «Центр! безопасности дорожного движения Республики Адыгея» (далее - ГКУ РА «ЦБДД РА», Учреждение) Аргун</w:t>
        <w:br w:type="page"/>
        <w:t>одителя Учреждения и Читао А.А. (доверенность от 20.07.2020); жалобу ООО «Эффективные технологии» (далее - Заявитель) на документации аукциона в электронной форме на право заключения иного контракта на поставку аппаратно-программных комплексов говидеофиксации нарушений правил дорожного движения (извещение 05520001034), проведя внеплановую проверку на основании пункта 1 атьи 99 Федерального закона от 05.04.2013 № 44-ФЗ «О контрактной сфере закупок товаров, работ, услуг для государственных и</w:t>
      </w:r>
    </w:p>
    <w:p>
      <w:pPr>
        <w:pStyle w:val="Style6"/>
        <w:framePr w:w="1448" w:h="5475" w:wrap="around" w:hAnchor="margin" w:x="10" w:y="-60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100" w:firstLine="0"/>
      </w:pPr>
      <w:r>
        <w:rPr>
          <w:rStyle w:val="CharStyle12"/>
          <w:spacing w:val="0"/>
        </w:rPr>
        <w:t>Д.З., руков рассмотрен положения государств^ (камер) фо №0176200( части 15 с' системе в муниципал Администр исполнен® (бездейств] специализн должности электроннс исполните; утвержден^ Администр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106" w:line="298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ьных нужд» (далее - Закон о контрактной системе), пункта 3.31 ативного регламента Федеральной антимонопольной службы по </w:t>
      </w:r>
      <w:r>
        <w:rPr>
          <w:rStyle w:val="CharStyle19"/>
        </w:rPr>
        <w:t>ю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государственной функции по рассмотрению жалоб на действия [©) заказчика, уполномоченного органа, уполномоченного учреждения, рованной организации, комиссии по осуществлению закупок, ее членов, )ш лица контрактной службы, контрактного управляющего, оператора й площадки при определении поставщиков (подрядчиков, ей) для обеспечения государственных и муниципальных нужд, ого Приказом ФАС России от 19.11.2:014 № 727/14 (далее - ативный регламент)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75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Федеральной антимонопольной службы по Республике Адыгея поступила жалоба Заявителя, в которой указано, что Заказчик нарушает права и ограничивает участие в Аукционе заинтересованным лицам.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мнению Заявителя, Заказчик требует необоснованную характеристику частоты кадров не менее 40, которая направлена на ограничение количества участников и не несет в себе никакой потребительской ценности, более того, ГОСТ Р 57144-2016, который регулирует требования к комплексам фото видеофиксации - не предъявляет требований к частоте кадров, величине их приема и обработки, что нарушает пункты 1 и 2 части 1 статьи 33 Закона о контрактной системе.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Заявитель просит приостановить проведение Аукциона, осуществить внеплановую проверку, признать жалобу обоснованной, выдать Зак&lt;13чику предписание об устранении нарушений.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Заказчиком представлены письменные возражения на жалобу (исх. №49 от 30.07.2020), в которых Заказчик просит признать жалобу необоснованной, так как доводы Заявителя являются несостоятельными.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результате рассмотрения жалобы и проведения внеплановой проверки Комиссия У ФАС установила следующее.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Уполномоченным органом - Комитетом Республики Адыгея по регулированию контрактной системы в сфере закупок в единой информационной системе на официальном сайте для размещения закупок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zakupki.gov.ru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Официальный сайт) 16.07.2020 размещены извещение о проведении закупки и документация Аукциона.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Начальная (максимальная) цена контракта - 17 730 000,00 руб.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Источник финансирования - Республиканский бюджет Республики Адыгея на 2020 го;</w:t>
      </w:r>
      <w:r>
        <w:br w:type="page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тветсгвии с пунктом 1 части 1 статьи 64 Закона о контрактной системе ия об электронном аукционе наряду с информацией, указанной в о проведении такого аукциона, должна содержать следующую ю: наименование и описание объекта закупки и условия контракта в щ со статьей 33 Закона о контрактной системе.</w:t>
      </w:r>
    </w:p>
    <w:p>
      <w:pPr>
        <w:pStyle w:val="Style6"/>
        <w:framePr w:w="1520" w:h="7001" w:wrap="around" w:hAnchor="margin" w:x="15" w:y="-64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120" w:firstLine="680"/>
      </w:pPr>
      <w:r>
        <w:rPr>
          <w:rStyle w:val="CharStyle12"/>
          <w:spacing w:val="0"/>
        </w:rPr>
        <w:t xml:space="preserve">В </w:t>
      </w:r>
      <w:r>
        <w:rPr>
          <w:rStyle w:val="CharStyle12"/>
          <w:lang w:val="en-US" w:eastAsia="en-US" w:bidi="en-US"/>
          <w:spacing w:val="0"/>
        </w:rPr>
        <w:t xml:space="preserve">coo </w:t>
      </w:r>
      <w:r>
        <w:rPr>
          <w:rStyle w:val="CharStyle12"/>
          <w:spacing w:val="0"/>
        </w:rPr>
        <w:t>документа]|, извещении информаци соответств[ С опт;: описании качественнь (при необх( требования фирменных наименован работам, ус ограничени Соглг закупке в с: контрактно соответстви требованиям: таких пока;!</w:t>
      </w:r>
    </w:p>
    <w:p>
      <w:pPr>
        <w:pStyle w:val="Style6"/>
        <w:framePr w:w="1520" w:h="7001" w:wrap="around" w:hAnchor="margin" w:x="15" w:y="-64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0" w:right="120" w:firstLine="680"/>
      </w:pPr>
      <w:r>
        <w:rPr>
          <w:rStyle w:val="CharStyle12"/>
          <w:spacing w:val="0"/>
        </w:rPr>
        <w:t xml:space="preserve">В г]: характерист </w:t>
      </w:r>
      <w:r>
        <w:rPr>
          <w:rStyle w:val="CharStyle13"/>
          <w:spacing w:val="0"/>
        </w:rPr>
        <w:t>следующие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сно пункту 1 части 1 статьи 33 Закона о контрактной системе в объекта закупки указываются функциональные, технические и те характеристики, эксплуатационные характеристики объекта закупки одимости). В описание объекта закупки не должны включаться или указания в отношении товарных знаков, знаков обслуживания, наименований, патентов, полезных моделей, промышленных образцов, </w:t>
      </w:r>
      <w:r>
        <w:rPr>
          <w:rStyle w:val="CharStyle20"/>
        </w:rPr>
        <w:t xml:space="preserve">Не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страны происхождения товара, требования к товарам, информации, лугам при условии, что такие требования или указания влекут за собой е количества участников закупки.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240" w:line="302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юно части 2 статьи 33 Закона о контрактной системе документация о соответствии с требованиями, указанными в части 1 статьи 33 Закона о й системе, должна содержать показатели, позволяющие определить е закупаемых товара, работы, услуги установленным заказчиком При этом указываются максимальные и (или) минимальные значения ателей, а также значения показателей, которые не могут изменяться, ебованиях к функциональным, техническим и эксплуатационным икам радиоэлектронной продукции Заказчиком установлены</w:t>
      </w:r>
    </w:p>
    <w:tbl>
      <w:tblPr>
        <w:tblOverlap w:val="never"/>
        <w:tblLayout w:type="fixed"/>
        <w:jc w:val="left"/>
      </w:tblPr>
      <w:tblGrid>
        <w:gridCol w:w="1296"/>
        <w:gridCol w:w="4631"/>
        <w:gridCol w:w="1007"/>
        <w:gridCol w:w="366"/>
        <w:gridCol w:w="555"/>
        <w:gridCol w:w="1621"/>
      </w:tblGrid>
      <w:tr>
        <w:trPr>
          <w:trHeight w:val="25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475" w:h="2009" w:hSpace="4" w:wrap="notBeside" w:vAnchor="text" w:hAnchor="text" w:x="5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6"/>
              <w:framePr w:w="9475" w:h="2009" w:hSpace="4" w:wrap="notBeside" w:vAnchor="text" w:hAnchor="text" w:x="5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70" w:lineRule="exact"/>
              <w:ind w:left="0" w:right="80" w:firstLine="0"/>
            </w:pPr>
            <w:r>
              <w:rPr>
                <w:rStyle w:val="CharStyle21"/>
              </w:rPr>
              <w:t>Вычислительный модуль: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475" w:h="2009" w:hSpace="4" w:wrap="notBeside" w:vAnchor="text" w:hAnchor="text" w:x="5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475" w:h="2009" w:hSpace="4" w:wrap="notBeside" w:vAnchor="text" w:hAnchor="text" w:x="5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475" w:h="2009" w:hSpace="4" w:wrap="notBeside" w:vAnchor="text" w:hAnchor="text" w:x="5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right w:val="single" w:sz="4"/>
              <w:top w:val="single" w:sz="4"/>
            </w:tcBorders>
            <w:vAlign w:val="top"/>
          </w:tcPr>
          <w:p>
            <w:pPr>
              <w:framePr w:w="9475" w:h="2009" w:hSpace="4" w:wrap="notBeside" w:vAnchor="text" w:hAnchor="text" w:x="5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9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6"/>
              <w:framePr w:w="9475" w:h="2009" w:hSpace="4" w:wrap="notBeside" w:vAnchor="text" w:hAnchor="text" w:x="5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120" w:right="0" w:firstLine="0"/>
            </w:pPr>
            <w:r>
              <w:rPr>
                <w:rStyle w:val="CharStyle21"/>
              </w:rPr>
              <w:t>Прием и обра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6"/>
              <w:framePr w:w="9475" w:h="2009" w:hSpace="4" w:wrap="notBeside" w:vAnchor="text" w:hAnchor="text" w:x="5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20" w:right="0" w:firstLine="0"/>
            </w:pPr>
            <w:r>
              <w:rPr>
                <w:rStyle w:val="CharStyle21"/>
              </w:rPr>
              <w:t>5отка видео в реальном времени, кадров/с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6"/>
              <w:framePr w:w="9475" w:h="2009" w:hSpace="4" w:wrap="notBeside" w:vAnchor="text" w:hAnchor="text" w:x="5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60" w:right="0" w:firstLine="0"/>
            </w:pPr>
            <w:r>
              <w:rPr>
                <w:rStyle w:val="CharStyle21"/>
              </w:rPr>
              <w:t>не менее 25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475" w:h="2009" w:hSpace="4" w:wrap="notBeside" w:vAnchor="text" w:hAnchor="text" w:x="5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475" w:h="2009" w:hSpace="4" w:wrap="notBeside" w:vAnchor="text" w:hAnchor="text" w:x="5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right w:val="single" w:sz="4"/>
              <w:top w:val="single" w:sz="4"/>
            </w:tcBorders>
            <w:vAlign w:val="top"/>
          </w:tcPr>
          <w:p>
            <w:pPr>
              <w:framePr w:w="9475" w:h="2009" w:hSpace="4" w:wrap="notBeside" w:vAnchor="text" w:hAnchor="text" w:x="5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475" w:h="2009" w:hSpace="4" w:wrap="notBeside" w:vAnchor="text" w:hAnchor="text" w:x="5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6"/>
              <w:framePr w:w="9475" w:h="2009" w:hSpace="4" w:wrap="notBeside" w:vAnchor="text" w:hAnchor="text" w:x="5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2860" w:right="0" w:firstLine="0"/>
            </w:pPr>
            <w:r>
              <w:rPr>
                <w:rStyle w:val="CharStyle21"/>
              </w:rPr>
              <w:t>Видеодатчик: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475" w:h="2009" w:hSpace="4" w:wrap="notBeside" w:vAnchor="text" w:hAnchor="text" w:x="5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475" w:h="2009" w:hSpace="4" w:wrap="notBeside" w:vAnchor="text" w:hAnchor="text" w:x="5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475" w:h="2009" w:hSpace="4" w:wrap="notBeside" w:vAnchor="text" w:hAnchor="text" w:x="5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right w:val="single" w:sz="4"/>
              <w:top w:val="single" w:sz="4"/>
            </w:tcBorders>
            <w:vAlign w:val="top"/>
          </w:tcPr>
          <w:p>
            <w:pPr>
              <w:framePr w:w="9475" w:h="2009" w:hSpace="4" w:wrap="notBeside" w:vAnchor="text" w:hAnchor="text" w:x="5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8" w:hRule="exact"/>
        </w:trPr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6"/>
              <w:framePr w:w="9475" w:h="2009" w:hSpace="4" w:wrap="notBeside" w:vAnchor="text" w:hAnchor="text" w:x="5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120" w:right="0" w:firstLine="0"/>
            </w:pPr>
            <w:r>
              <w:rPr>
                <w:rStyle w:val="CharStyle22"/>
              </w:rPr>
              <w:t>Функционалы!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6"/>
              <w:framePr w:w="9475" w:h="2009" w:hSpace="4" w:wrap="notBeside" w:vAnchor="text" w:hAnchor="text" w:x="5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20" w:right="0" w:firstLine="0"/>
            </w:pPr>
            <w:r>
              <w:rPr>
                <w:rStyle w:val="CharStyle22"/>
              </w:rPr>
              <w:t>ое назначение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6"/>
              <w:framePr w:w="9475" w:h="2009" w:hSpace="4" w:wrap="notBeside" w:vAnchor="text" w:hAnchor="text" w:x="5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60" w:right="0" w:firstLine="0"/>
            </w:pPr>
            <w:r>
              <w:rPr>
                <w:rStyle w:val="CharStyle22"/>
              </w:rPr>
              <w:t>фиксация Т(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bottom"/>
          </w:tcPr>
          <w:p>
            <w:pPr>
              <w:pStyle w:val="Style6"/>
              <w:framePr w:w="9475" w:h="2009" w:hSpace="4" w:wrap="notBeside" w:vAnchor="text" w:hAnchor="text" w:x="5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0" w:right="0" w:firstLine="0"/>
            </w:pPr>
            <w:r>
              <w:rPr>
                <w:rStyle w:val="CharStyle21"/>
              </w:rPr>
              <w:t xml:space="preserve">Г </w:t>
            </w:r>
            <w:r>
              <w:rPr>
                <w:rStyle w:val="CharStyle22"/>
              </w:rPr>
              <w:t xml:space="preserve">в </w:t>
            </w:r>
            <w:r>
              <w:rPr>
                <w:rStyle w:val="CharStyle21"/>
              </w:rPr>
              <w:t>з</w:t>
            </w:r>
          </w:p>
        </w:tc>
        <w:tc>
          <w:tcPr>
            <w:shd w:val="clear" w:color="auto" w:fill="FFFFFF"/>
            <w:gridSpan w:val="2"/>
            <w:tcBorders>
              <w:right w:val="single" w:sz="4"/>
              <w:top w:val="single" w:sz="4"/>
            </w:tcBorders>
            <w:vAlign w:val="bottom"/>
          </w:tcPr>
          <w:p>
            <w:pPr>
              <w:pStyle w:val="Style6"/>
              <w:framePr w:w="9475" w:h="2009" w:hSpace="4" w:wrap="notBeside" w:vAnchor="text" w:hAnchor="text" w:x="5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0" w:right="0" w:firstLine="0"/>
            </w:pPr>
            <w:r>
              <w:rPr>
                <w:rStyle w:val="CharStyle22"/>
              </w:rPr>
              <w:t>оне контроля;</w:t>
            </w:r>
          </w:p>
        </w:tc>
      </w:tr>
      <w:tr>
        <w:trPr>
          <w:trHeight w:val="248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9475" w:h="2009" w:hSpace="4" w:wrap="notBeside" w:vAnchor="text" w:hAnchor="text" w:x="5" w:y="1"/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475" w:h="2009" w:hSpace="4" w:wrap="notBeside" w:vAnchor="text" w:hAnchor="text" w:x="5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gridSpan w:val="4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6"/>
              <w:framePr w:w="9475" w:h="2009" w:hSpace="4" w:wrap="notBeside" w:vAnchor="text" w:hAnchor="text" w:x="5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60" w:right="0" w:firstLine="0"/>
            </w:pPr>
            <w:r>
              <w:rPr>
                <w:rStyle w:val="CharStyle22"/>
              </w:rPr>
              <w:t>опциональное измерение: скорости</w:t>
            </w:r>
          </w:p>
        </w:tc>
      </w:tr>
      <w:tr>
        <w:trPr>
          <w:trHeight w:val="24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475" w:h="2009" w:hSpace="4" w:wrap="notBeside" w:vAnchor="text" w:hAnchor="text" w:x="5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gridSpan w:val="2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6"/>
              <w:framePr w:w="9475" w:h="2009" w:hSpace="4" w:wrap="notBeside" w:vAnchor="text" w:hAnchor="text" w:x="5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2060" w:right="0" w:firstLine="0"/>
            </w:pPr>
            <w:r>
              <w:rPr>
                <w:rStyle w:val="CharStyle22"/>
              </w:rPr>
              <w:t>Функциональные характеристики: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475" w:h="2009" w:hSpace="4" w:wrap="notBeside" w:vAnchor="text" w:hAnchor="text" w:x="5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475" w:h="2009" w:hSpace="4" w:wrap="notBeside" w:vAnchor="text" w:hAnchor="text" w:x="5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right w:val="single" w:sz="4"/>
              <w:top w:val="single" w:sz="4"/>
            </w:tcBorders>
            <w:vAlign w:val="top"/>
          </w:tcPr>
          <w:p>
            <w:pPr>
              <w:framePr w:w="9475" w:h="2009" w:hSpace="4" w:wrap="notBeside" w:vAnchor="text" w:hAnchor="text" w:x="5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6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6"/>
              <w:framePr w:w="9475" w:h="2009" w:hSpace="4" w:wrap="notBeside" w:vAnchor="text" w:hAnchor="text" w:x="5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120" w:right="0" w:firstLine="0"/>
            </w:pPr>
            <w:r>
              <w:rPr>
                <w:rStyle w:val="CharStyle21"/>
              </w:rPr>
              <w:t>Частота кадрк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6"/>
              <w:framePr w:w="9475" w:h="2009" w:hSpace="4" w:wrap="notBeside" w:vAnchor="text" w:hAnchor="text" w:x="5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20" w:right="0" w:firstLine="0"/>
            </w:pPr>
            <w:r>
              <w:rPr>
                <w:rStyle w:val="CharStyle21"/>
              </w:rPr>
              <w:t>&gt;в видеосъемки, кадров/с</w:t>
            </w:r>
          </w:p>
        </w:tc>
        <w:tc>
          <w:tcPr>
            <w:shd w:val="clear" w:color="auto" w:fill="FFFFFF"/>
            <w:tcBorders>
              <w:top w:val="single" w:sz="4"/>
              <w:bottom w:val="single" w:sz="4"/>
            </w:tcBorders>
            <w:vAlign w:val="top"/>
          </w:tcPr>
          <w:p>
            <w:pPr>
              <w:pStyle w:val="Style6"/>
              <w:framePr w:w="9475" w:h="2009" w:hSpace="4" w:wrap="notBeside" w:vAnchor="text" w:hAnchor="text" w:x="5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60" w:right="0" w:firstLine="0"/>
            </w:pPr>
            <w:r>
              <w:rPr>
                <w:rStyle w:val="CharStyle21"/>
              </w:rPr>
              <w:t>не менее 40</w:t>
            </w:r>
          </w:p>
        </w:tc>
        <w:tc>
          <w:tcPr>
            <w:shd w:val="clear" w:color="auto" w:fill="FFFFFF"/>
            <w:tcBorders>
              <w:top w:val="single" w:sz="4"/>
              <w:bottom w:val="single" w:sz="4"/>
            </w:tcBorders>
            <w:vAlign w:val="top"/>
          </w:tcPr>
          <w:p>
            <w:pPr>
              <w:framePr w:w="9475" w:h="2009" w:hSpace="4" w:wrap="notBeside" w:vAnchor="text" w:hAnchor="text" w:x="5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top w:val="single" w:sz="4"/>
              <w:bottom w:val="single" w:sz="4"/>
            </w:tcBorders>
            <w:vAlign w:val="top"/>
          </w:tcPr>
          <w:p>
            <w:pPr>
              <w:framePr w:w="9475" w:h="2009" w:hSpace="4" w:wrap="notBeside" w:vAnchor="text" w:hAnchor="text" w:x="5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framePr w:w="9475" w:h="2009" w:hSpace="4" w:wrap="notBeside" w:vAnchor="text" w:hAnchor="text" w:x="5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3"/>
        <w:framePr w:w="262" w:h="242" w:hSpace="4" w:wrap="notBeside" w:vAnchor="text" w:hAnchor="text" w:x="1147" w:y="206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</w:t>
      </w:r>
    </w:p>
    <w:p>
      <w:pPr>
        <w:widowControl w:val="0"/>
        <w:rPr>
          <w:sz w:val="2"/>
          <w:szCs w:val="2"/>
        </w:rPr>
      </w:pPr>
    </w:p>
    <w:p>
      <w:pPr>
        <w:pStyle w:val="Style6"/>
        <w:framePr w:w="1470" w:h="4513" w:wrap="around" w:vAnchor="text" w:hAnchor="margin" w:x="15" w:y="-56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0" w:right="180" w:firstLine="0"/>
      </w:pPr>
      <w:r>
        <w:rPr>
          <w:rStyle w:val="CharStyle12"/>
          <w:spacing w:val="0"/>
        </w:rPr>
        <w:t>На</w:t>
      </w:r>
    </w:p>
    <w:p>
      <w:pPr>
        <w:pStyle w:val="Style6"/>
        <w:framePr w:w="1470" w:h="4513" w:wrap="around" w:vAnchor="text" w:hAnchor="margin" w:x="15" w:y="-5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0" w:right="120" w:firstLine="0"/>
      </w:pPr>
      <w:r>
        <w:rPr>
          <w:rStyle w:val="CharStyle12"/>
          <w:spacing w:val="0"/>
        </w:rPr>
        <w:t>вычисления «Частота реальном основопола: Вмест значением числе для Чаете обеспечить средств в : становится кадре, а ч осуществлю знаков с</w:t>
      </w:r>
    </w:p>
    <w:p>
      <w:pPr>
        <w:pStyle w:val="Style6"/>
        <w:framePr w:h="230" w:vSpace="432" w:wrap="around" w:vAnchor="text" w:hAnchor="margin" w:x="1014" w:y="61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2"/>
          <w:spacing w:val="0"/>
        </w:rPr>
        <w:t>ка,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ссмотрении дела представитель Заказчика указал, что для точного скорости транспортных средств в АПК данного типа показатели дров видеосъёмки, кадров/сне менее 40» и «Прием и обработка видео в времени» со значением «не менее 25 кадров/с» являются тающими.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0" w:firstLine="2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тем, показатель «Частота кадров видеосъёмки, кадров/с» со :&lt;не менее 40» применяется к видеодатчику, который предназначен в том фиксации транспортных средств в зоне контроля.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;ла кадров не менее 40 кадров/с указана исходя из необходимости максимально возможное количество зафиксированных транспортных зоне контроля. Очевидно, что чем меньше частота кадров, тем видео менее плавным - это четко видно при съемке движущихся объектов в ем выше ■■ тем более плавным. В связи с тем, что АПК должны лъ фиксацию скоростного режима и распознавание регистрационных наибольшим качеством, точностью и без пропуска детекции, а</w:t>
        <w:br w:type="page"/>
        <w:t>применяемые АПК используются как для фиксации нарушений, так и в оперативно-розыскной деятельности, Заказчиком были установлены соответствующие требования так как уменьшение частоты кадров приведет к пропуску объектов, движущихся на высокой скорости.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25" w:lineRule="exact"/>
        <w:ind w:left="0" w:right="2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этом, показатель «Прием и обработка видео в реальном времени» со значением «не менее 25 кадров/с» применяется к вычислительному модулю.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2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Таблицей 3 части 6.5 ГОСТ Р 57144-2016 для технических средств автоматической фотовидеофиксаци при описании материалов событий должно быть не менее двух последовательных фотоизображений транспортного средства в Зоне контроля с интервалом не менее 0,1 с.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2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количеству кадров, в которых присутствует номер транспортного средства, определяется время проезда. Размеры дорожного полотна задаются при установке АПК. Используя этим параметры, АПК вычисляет скорость автомобиля.</w:t>
      </w:r>
    </w:p>
    <w:p>
      <w:pPr>
        <w:pStyle w:val="Style6"/>
        <w:framePr w:w="2427" w:h="595" w:vSpace="6" w:wrap="around" w:vAnchor="text" w:hAnchor="margin" w:x="7033" w:y="-52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100" w:right="0" w:firstLine="0"/>
      </w:pPr>
      <w:r>
        <w:rPr>
          <w:rStyle w:val="CharStyle12"/>
          <w:spacing w:val="0"/>
        </w:rPr>
        <w:t>современных АПК требование не</w:t>
      </w:r>
    </w:p>
    <w:p>
      <w:pPr>
        <w:pStyle w:val="Style6"/>
        <w:tabs>
          <w:tab w:leader="none" w:pos="334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Заказчиком использовано</w:t>
        <w:tab/>
        <w:t>среднее значение для</w:t>
      </w:r>
    </w:p>
    <w:p>
      <w:pPr>
        <w:pStyle w:val="Style6"/>
        <w:tabs>
          <w:tab w:leader="none" w:pos="4011" w:val="left"/>
          <w:tab w:leader="none" w:pos="729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производимых в Российской</w:t>
        <w:tab/>
        <w:t>Федерации.</w:t>
        <w:tab/>
        <w:t>Установленное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противоречит указанному выше национальному стандарту.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2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Кроме того, скорость приема и обработки видео в реальном времени в количестве не менее 25 кадров/с установлена в целях фиксации и распознавания всего потока движущихся транспортных средств даже при максимальной нагрузке на модуль обработки данных, который должен обеспечить их обработку.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2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таких обстоятельствах, Комиссия УФАС приходит к выводу о том, что при формировании описания объекта закупки Заказчиком не были нарушены положения статьи 31 Закона о контрактной системе.</w:t>
      </w:r>
    </w:p>
    <w:p>
      <w:pPr>
        <w:pStyle w:val="Style6"/>
        <w:tabs>
          <w:tab w:leader="none" w:pos="4011" w:val="left"/>
          <w:tab w:leader="none" w:pos="7493" w:val="right"/>
          <w:tab w:leader="none" w:pos="8319" w:val="center"/>
          <w:tab w:leader="none" w:pos="944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2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Кроме того, применение ГОСТ Р 57144-2016 не является обязательным, что подтверждается определением</w:t>
        <w:tab/>
        <w:t>Верховного</w:t>
        <w:tab/>
        <w:t>суда Российской</w:t>
        <w:tab/>
        <w:t>Федерации</w:t>
        <w:tab/>
        <w:t>от</w:t>
      </w:r>
    </w:p>
    <w:p>
      <w:pPr>
        <w:pStyle w:val="Style6"/>
        <w:framePr w:w="1292" w:h="538" w:vSpace="41" w:wrap="around" w:vAnchor="text" w:hAnchor="margin" w:x="26" w:y="1"/>
        <w:widowControl w:val="0"/>
        <w:keepNext w:val="0"/>
        <w:keepLines w:val="0"/>
        <w:shd w:val="clear" w:color="auto" w:fill="auto"/>
        <w:bidi w:val="0"/>
        <w:jc w:val="right"/>
        <w:spacing w:before="0" w:after="15" w:line="230" w:lineRule="exact"/>
        <w:ind w:left="0" w:right="60" w:firstLine="0"/>
      </w:pPr>
      <w:r>
        <w:rPr>
          <w:rStyle w:val="CharStyle12"/>
          <w:spacing w:val="0"/>
        </w:rPr>
        <w:t>04.05.2017]</w:t>
      </w:r>
    </w:p>
    <w:p>
      <w:pPr>
        <w:pStyle w:val="Style6"/>
        <w:framePr w:w="1292" w:h="538" w:vSpace="41" w:wrap="around" w:vAnchor="text" w:hAnchor="margin" w:x="26" w:y="1"/>
        <w:widowControl w:val="0"/>
        <w:keepNext w:val="0"/>
        <w:keepLines w:val="0"/>
        <w:shd w:val="clear" w:color="auto" w:fill="auto"/>
        <w:bidi w:val="0"/>
        <w:jc w:val="right"/>
        <w:spacing w:before="0" w:after="0" w:line="230" w:lineRule="exact"/>
        <w:ind w:left="0" w:right="60" w:firstLine="0"/>
      </w:pPr>
      <w:r>
        <w:rPr>
          <w:rStyle w:val="CharStyle12"/>
          <w:spacing w:val="0"/>
        </w:rPr>
        <w:t>Заказ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делу № А08-1545/2016.</w:t>
      </w:r>
    </w:p>
    <w:p>
      <w:pPr>
        <w:pStyle w:val="Style6"/>
        <w:tabs>
          <w:tab w:leader="none" w:pos="2614" w:val="left"/>
          <w:tab w:leader="none" w:pos="6099" w:val="right"/>
          <w:tab w:leader="none" w:pos="6925" w:val="center"/>
          <w:tab w:leader="none" w:pos="804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ик самостоятельно</w:t>
        <w:tab/>
        <w:t>определяет</w:t>
        <w:tab/>
        <w:t>функциональные,</w:t>
        <w:tab/>
        <w:t>технические</w:t>
        <w:tab/>
        <w:t>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качественнке характеристики, эксплуатационные свойства объекта закупки исходя из собственных нужд, в наибольшей степени удовлетворяющих своим потребностям.</w:t>
      </w:r>
    </w:p>
    <w:p>
      <w:pPr>
        <w:pStyle w:val="Style6"/>
        <w:framePr w:w="1473" w:h="545" w:vSpace="45" w:wrap="around" w:vAnchor="text" w:hAnchor="margin" w:x="17" w:y="607"/>
        <w:widowControl w:val="0"/>
        <w:keepNext w:val="0"/>
        <w:keepLines w:val="0"/>
        <w:shd w:val="clear" w:color="auto" w:fill="auto"/>
        <w:bidi w:val="0"/>
        <w:jc w:val="right"/>
        <w:spacing w:before="0" w:after="16" w:line="230" w:lineRule="exact"/>
        <w:ind w:left="0" w:right="60" w:firstLine="0"/>
      </w:pPr>
      <w:r>
        <w:rPr>
          <w:rStyle w:val="CharStyle12"/>
          <w:spacing w:val="0"/>
        </w:rPr>
        <w:t>Вместе</w:t>
      </w:r>
    </w:p>
    <w:p>
      <w:pPr>
        <w:pStyle w:val="Style14"/>
        <w:framePr w:w="1473" w:h="545" w:vSpace="45" w:wrap="around" w:vAnchor="text" w:hAnchor="margin" w:x="17" w:y="60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документов</w:t>
      </w:r>
    </w:p>
    <w:p>
      <w:pPr>
        <w:pStyle w:val="Style6"/>
        <w:framePr w:w="3443" w:h="609" w:vSpace="2" w:wrap="around" w:vAnchor="text" w:hAnchor="margin" w:x="6022" w:y="549"/>
        <w:widowControl w:val="0"/>
        <w:keepNext w:val="0"/>
        <w:keepLines w:val="0"/>
        <w:shd w:val="clear" w:color="auto" w:fill="auto"/>
        <w:bidi w:val="0"/>
        <w:jc w:val="right"/>
        <w:spacing w:before="0" w:after="0" w:line="307" w:lineRule="exact"/>
        <w:ind w:left="100" w:right="0" w:firstLine="0"/>
      </w:pPr>
      <w:r>
        <w:rPr>
          <w:rStyle w:val="CharStyle12"/>
          <w:spacing w:val="0"/>
        </w:rPr>
        <w:t>Комиссии не представлено своих доводов,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64" w:line="302" w:lineRule="exact"/>
        <w:ind w:left="0" w:right="2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Таким образом, Комиссия ФАС полагает, что требования Аукционной документации не противоречат нормам Закона о контрактной системе, с тем, Заявителем на заседание и сведений, подтверждающих обоснованность следователкю, жалоба является </w:t>
      </w:r>
      <w:r>
        <w:rPr>
          <w:rStyle w:val="CharStyle25"/>
        </w:rPr>
        <w:t>необоснованной.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0" w:firstLine="660"/>
      </w:pPr>
      <w:r>
        <w:rPr>
          <w:rStyle w:val="CharStyle25"/>
        </w:rPr>
        <w:t xml:space="preserve">В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ходе внеплановой проверки Комиссия УФАС установила следующее.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20" w:firstLine="660"/>
      </w:pPr>
      <w:r>
        <w:rPr>
          <w:rStyle w:val="CharStyle25"/>
        </w:rPr>
        <w:t xml:space="preserve">В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нарушение </w:t>
      </w:r>
      <w:r>
        <w:rPr>
          <w:rStyle w:val="CharStyle25"/>
        </w:rPr>
        <w:t xml:space="preserve">части 27 статьи 34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Закона о контрактной системе, согласно которой в контракт включается обязательное условие о сроках возврата заказчиком поставщику (подрядчику, исполнителю) денежных средств, внесенных в качестве обеспечения исполнения контракта, при этом срок возврата заказчиком поставщику (подрядчику, исполнителю) таких денежных средств в случае установления заказчиком ограничения, предусмотренного частью 3 статьи 30 настоящего Федерального закона, такой срок не должен превышать </w:t>
      </w:r>
      <w:r>
        <w:rPr>
          <w:rStyle w:val="CharStyle25"/>
        </w:rPr>
        <w:t xml:space="preserve">пятнадцать дней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даты исполнения поставщиком (подрядчиком, исполнителем) обязательств,</w:t>
        <w:br w:type="page"/>
        <w:t xml:space="preserve">предусмотренных контрактом, в </w:t>
      </w:r>
      <w:r>
        <w:rPr>
          <w:rStyle w:val="CharStyle25"/>
        </w:rPr>
        <w:t xml:space="preserve">подпункте 9.10 Проекта контракта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установлено: «В случае если в качестве обеспечения исполнения Контракта Заказчику перечислены денежные средства, возврат обеспечения осуществляется Заказчиком в течение </w:t>
      </w:r>
      <w:r>
        <w:rPr>
          <w:rStyle w:val="CharStyle25"/>
        </w:rPr>
        <w:t xml:space="preserve">30 (тридцати) дней,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даты исполнения Поставщиком обязательств, предусмотренных Контрактом».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Вышеуказанные нарушения содержат признаки состава административного правонарушения, предусмотренного </w:t>
      </w:r>
      <w:r>
        <w:rPr>
          <w:rStyle w:val="CharStyle25"/>
        </w:rPr>
        <w:t>частью 4.2 статьи 7.30 КоАП РФ.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Руководствуясь статьями 99, 106 Федерального закона от 05.04.2013 №44-ФЗ «О контрактной системе в сфере закупок товаров, работ, услуг для государственных и муниципальных нужд», Административным регламентом, Комиссия УФАС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44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ООО «Эффективные технологии» необоснованной.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</w:t>
      </w:r>
      <w:r>
        <w:rPr>
          <w:rStyle w:val="CharStyle26"/>
        </w:rPr>
        <w:t xml:space="preserve">в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действиях Заказчика нарушение части 27 статьи 34 Закона о контрактной системе.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Выдать Заказчику обязательное для исполнения предписание об устранении выявленных нарушений Закона о контрактной системе.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Передать должностному лицу Адыгейского УФАС России материалы дела №001/06/33-368/2020 для рассмотрения вопроса о возбуждении дела по выявленным признакам административного правонарушения.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600"/>
        <w:sectPr>
          <w:type w:val="continuous"/>
          <w:pgSz w:w="11906" w:h="16838"/>
          <w:pgMar w:top="1600" w:left="1005" w:right="1005" w:bottom="1713" w:header="0" w:footer="3" w:gutter="412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6"/>
        <w:framePr w:w="1478" w:h="703" w:wrap="none" w:vAnchor="text" w:hAnchor="margin" w:x="351" w:y="370"/>
        <w:widowControl w:val="0"/>
        <w:keepNext w:val="0"/>
        <w:keepLines w:val="0"/>
        <w:shd w:val="clear" w:color="auto" w:fill="auto"/>
        <w:bidi w:val="0"/>
        <w:jc w:val="both"/>
        <w:spacing w:before="0" w:after="0" w:line="352" w:lineRule="exact"/>
        <w:ind w:left="100" w:right="140" w:firstLine="0"/>
      </w:pPr>
      <w:r>
        <w:rPr>
          <w:rStyle w:val="CharStyle12"/>
          <w:spacing w:val="0"/>
        </w:rPr>
        <w:t>Председат Члены Ком</w:t>
      </w:r>
    </w:p>
    <w:p>
      <w:pPr>
        <w:pStyle w:val="Style6"/>
        <w:framePr w:w="1636" w:h="703" w:wrap="none" w:vAnchor="text" w:hAnchor="margin" w:x="1642" w:y="370"/>
        <w:widowControl w:val="0"/>
        <w:keepNext w:val="0"/>
        <w:keepLines w:val="0"/>
        <w:shd w:val="clear" w:color="auto" w:fill="auto"/>
        <w:bidi w:val="0"/>
        <w:jc w:val="both"/>
        <w:spacing w:before="0" w:after="0" w:line="352" w:lineRule="exact"/>
        <w:ind w:left="100" w:right="100" w:firstLine="0"/>
      </w:pPr>
      <w:r>
        <w:rPr>
          <w:rStyle w:val="CharStyle12"/>
          <w:spacing w:val="0"/>
        </w:rPr>
        <w:t>ль Комиссии иссии: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34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462" w:left="987" w:right="987" w:bottom="46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4"/>
    </w:rPr>
  </w:style>
  <w:style w:type="character" w:customStyle="1" w:styleId="CharStyle13">
    <w:name w:val="Основной текст Exact"/>
    <w:basedOn w:val="CharStyle7"/>
    <w:rPr>
      <w:lang w:val="ru-RU" w:eastAsia="ru-RU" w:bidi="ru-RU"/>
      <w:u w:val="single"/>
      <w:sz w:val="23"/>
      <w:szCs w:val="23"/>
      <w:w w:val="100"/>
      <w:spacing w:val="4"/>
      <w:color w:val="000000"/>
      <w:position w:val="0"/>
    </w:rPr>
  </w:style>
  <w:style w:type="character" w:customStyle="1" w:styleId="CharStyle15">
    <w:name w:val="Основной текст (4) Exact"/>
    <w:basedOn w:val="DefaultParagraphFont"/>
    <w:link w:val="Style14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5"/>
    </w:rPr>
  </w:style>
  <w:style w:type="character" w:customStyle="1" w:styleId="CharStyle16">
    <w:name w:val="Основной текст + 16 pt,Курсив"/>
    <w:basedOn w:val="CharStyle7"/>
    <w:rPr>
      <w:lang w:val="ru-RU" w:eastAsia="ru-RU" w:bidi="ru-RU"/>
      <w:i/>
      <w:iCs/>
      <w:sz w:val="32"/>
      <w:szCs w:val="32"/>
      <w:w w:val="100"/>
      <w:spacing w:val="0"/>
      <w:color w:val="000000"/>
      <w:position w:val="0"/>
    </w:rPr>
  </w:style>
  <w:style w:type="character" w:customStyle="1" w:styleId="CharStyle17">
    <w:name w:val="Основной текст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8">
    <w:name w:val="Основной текст"/>
    <w:basedOn w:val="CharStyle7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9">
    <w:name w:val="Основной текст + 16 pt,Курсив"/>
    <w:basedOn w:val="CharStyle7"/>
    <w:rPr>
      <w:lang w:val="ru-RU" w:eastAsia="ru-RU" w:bidi="ru-RU"/>
      <w:i/>
      <w:iCs/>
      <w:sz w:val="32"/>
      <w:szCs w:val="32"/>
      <w:w w:val="100"/>
      <w:spacing w:val="0"/>
      <w:color w:val="000000"/>
      <w:position w:val="0"/>
    </w:rPr>
  </w:style>
  <w:style w:type="character" w:customStyle="1" w:styleId="CharStyle20">
    <w:name w:val="Основной текст + Lucida Sans Unicode,10,5 pt,Интервал -1 pt"/>
    <w:basedOn w:val="CharStyle7"/>
    <w:rPr>
      <w:lang w:val="ru-RU" w:eastAsia="ru-RU" w:bidi="ru-RU"/>
      <w:sz w:val="21"/>
      <w:szCs w:val="21"/>
      <w:rFonts w:ascii="Lucida Sans Unicode" w:eastAsia="Lucida Sans Unicode" w:hAnsi="Lucida Sans Unicode" w:cs="Lucida Sans Unicode"/>
      <w:w w:val="100"/>
      <w:spacing w:val="-20"/>
      <w:color w:val="000000"/>
      <w:position w:val="0"/>
    </w:rPr>
  </w:style>
  <w:style w:type="character" w:customStyle="1" w:styleId="CharStyle21">
    <w:name w:val="Основной текст + 8,5 pt,Полужирный"/>
    <w:basedOn w:val="CharStyle7"/>
    <w:rPr>
      <w:lang w:val="ru-RU" w:eastAsia="ru-RU" w:bidi="ru-RU"/>
      <w:b/>
      <w:bCs/>
      <w:sz w:val="17"/>
      <w:szCs w:val="17"/>
      <w:w w:val="100"/>
      <w:spacing w:val="0"/>
      <w:color w:val="000000"/>
      <w:position w:val="0"/>
    </w:rPr>
  </w:style>
  <w:style w:type="character" w:customStyle="1" w:styleId="CharStyle22">
    <w:name w:val="Основной текст + 8,5 pt"/>
    <w:basedOn w:val="CharStyle7"/>
    <w:rPr>
      <w:lang w:val="ru-RU" w:eastAsia="ru-RU" w:bidi="ru-RU"/>
      <w:sz w:val="17"/>
      <w:szCs w:val="17"/>
      <w:w w:val="100"/>
      <w:spacing w:val="0"/>
      <w:color w:val="000000"/>
      <w:position w:val="0"/>
    </w:rPr>
  </w:style>
  <w:style w:type="character" w:customStyle="1" w:styleId="CharStyle24">
    <w:name w:val="Подпись к таблице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5">
    <w:name w:val="Основной текст + Полужирный"/>
    <w:basedOn w:val="CharStyle7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6">
    <w:name w:val="Основной текст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20" w:line="248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FFFFFF"/>
      <w:jc w:val="center"/>
      <w:spacing w:before="120" w:after="12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line="19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FFFFFF"/>
      <w:spacing w:before="12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5"/>
    </w:rPr>
  </w:style>
  <w:style w:type="paragraph" w:customStyle="1" w:styleId="Style23">
    <w:name w:val="Подпись к таблице"/>
    <w:basedOn w:val="Normal"/>
    <w:link w:val="CharStyle2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