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0"/>
        <w:ind w:left="0" w:right="0" w:firstLine="0"/>
      </w:pPr>
      <w:r>
        <w:rPr>
          <w:lang w:val="ru-RU" w:eastAsia="ru-RU" w:bidi="ru-RU"/>
          <w:sz w:val="24"/>
          <w:szCs w:val="24"/>
          <w:w w:val="100"/>
          <w:spacing w:val="0"/>
          <w:color w:val="000000"/>
          <w:position w:val="0"/>
        </w:rPr>
        <w:t>Муниципальному заказчику:</w:t>
      </w:r>
    </w:p>
    <w:p>
      <w:pPr>
        <w:pStyle w:val="Style5"/>
        <w:widowControl w:val="0"/>
        <w:keepNext w:val="0"/>
        <w:keepLines w:val="0"/>
        <w:shd w:val="clear" w:color="auto" w:fill="auto"/>
        <w:bidi w:val="0"/>
        <w:jc w:val="left"/>
        <w:spacing w:before="0" w:after="0"/>
        <w:ind w:left="0" w:right="0" w:firstLine="0"/>
      </w:pPr>
      <w:r>
        <w:rPr>
          <w:lang w:val="ru-RU" w:eastAsia="ru-RU" w:bidi="ru-RU"/>
          <w:sz w:val="24"/>
          <w:szCs w:val="24"/>
          <w:w w:val="100"/>
          <w:spacing w:val="0"/>
          <w:color w:val="000000"/>
          <w:position w:val="0"/>
        </w:rPr>
        <w:t>Администр ации</w:t>
      </w:r>
    </w:p>
    <w:p>
      <w:pPr>
        <w:pStyle w:val="Style5"/>
        <w:widowControl w:val="0"/>
        <w:keepNext w:val="0"/>
        <w:keepLines w:val="0"/>
        <w:shd w:val="clear" w:color="auto" w:fill="auto"/>
        <w:bidi w:val="0"/>
        <w:jc w:val="left"/>
        <w:spacing w:before="0" w:after="0"/>
        <w:ind w:left="0" w:right="0" w:firstLine="0"/>
        <w:sectPr>
          <w:footnotePr>
            <w:pos w:val="pageBottom"/>
            <w:numFmt w:val="decimal"/>
            <w:numRestart w:val="continuous"/>
          </w:footnotePr>
          <w:type w:val="continuous"/>
          <w:pgSz w:w="11906" w:h="16838"/>
          <w:pgMar w:top="638" w:left="6040" w:right="702" w:bottom="273" w:header="0" w:footer="3" w:gutter="0"/>
          <w:rtlGutter w:val="0"/>
          <w:cols w:space="720"/>
          <w:noEndnote/>
          <w:docGrid w:linePitch="360"/>
        </w:sectPr>
      </w:pPr>
      <w:r>
        <w:rPr>
          <w:lang w:val="ru-RU" w:eastAsia="ru-RU" w:bidi="ru-RU"/>
          <w:sz w:val="24"/>
          <w:szCs w:val="24"/>
          <w:w w:val="100"/>
          <w:spacing w:val="0"/>
          <w:color w:val="000000"/>
          <w:position w:val="0"/>
        </w:rPr>
        <w:t>Магдагачинского района Амурской области</w:t>
      </w:r>
    </w:p>
    <w:p>
      <w:pPr>
        <w:widowControl w:val="0"/>
        <w:spacing w:line="31" w:lineRule="exact"/>
        <w:rPr>
          <w:sz w:val="3"/>
          <w:szCs w:val="3"/>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widowControl w:val="0"/>
        <w:keepNext w:val="0"/>
        <w:keepLines w:val="0"/>
        <w:shd w:val="clear" w:color="auto" w:fill="auto"/>
        <w:bidi w:val="0"/>
        <w:spacing w:before="0" w:after="90"/>
        <w:ind w:left="0" w:right="0" w:firstLine="0"/>
      </w:pPr>
      <w:r>
        <w:rPr>
          <w:lang w:val="ru-RU" w:eastAsia="ru-RU" w:bidi="ru-RU"/>
          <w:w w:val="100"/>
          <w:spacing w:val="0"/>
          <w:color w:val="000000"/>
          <w:position w:val="0"/>
        </w:rPr>
        <w:t>ФЕДЕРАЛЬНАЯ АНТИМОНОПОЛЬНАЯ СЛУЖБА</w:t>
      </w:r>
    </w:p>
    <w:p>
      <w:pPr>
        <w:pStyle w:val="Style9"/>
        <w:widowControl w:val="0"/>
        <w:keepNext w:val="0"/>
        <w:keepLines w:val="0"/>
        <w:shd w:val="clear" w:color="auto" w:fill="auto"/>
        <w:bidi w:val="0"/>
        <w:spacing w:before="0" w:after="0" w:line="260" w:lineRule="exact"/>
        <w:ind w:left="0" w:right="0" w:firstLine="0"/>
      </w:pPr>
      <w:r>
        <w:rPr>
          <w:lang w:val="ru-RU" w:eastAsia="ru-RU" w:bidi="ru-RU"/>
          <w:w w:val="100"/>
          <w:spacing w:val="0"/>
          <w:color w:val="000000"/>
          <w:position w:val="0"/>
        </w:rPr>
        <w:t>УПРАВЛЕНИЕ</w:t>
      </w:r>
    </w:p>
    <w:p>
      <w:pPr>
        <w:pStyle w:val="Style7"/>
        <w:widowControl w:val="0"/>
        <w:keepNext w:val="0"/>
        <w:keepLines w:val="0"/>
        <w:shd w:val="clear" w:color="auto" w:fill="auto"/>
        <w:bidi w:val="0"/>
        <w:spacing w:before="0" w:after="0" w:line="264" w:lineRule="exact"/>
        <w:ind w:left="0" w:right="0" w:firstLine="0"/>
      </w:pPr>
      <w:r>
        <w:rPr>
          <w:lang w:val="ru-RU" w:eastAsia="ru-RU" w:bidi="ru-RU"/>
          <w:w w:val="100"/>
          <w:spacing w:val="0"/>
          <w:color w:val="000000"/>
          <w:position w:val="0"/>
        </w:rPr>
        <w:t>Федеральной антимонопольной службы по Амурской области</w:t>
      </w:r>
    </w:p>
    <w:p>
      <w:pPr>
        <w:pStyle w:val="Style5"/>
        <w:widowControl w:val="0"/>
        <w:keepNext w:val="0"/>
        <w:keepLines w:val="0"/>
        <w:shd w:val="clear" w:color="auto" w:fill="auto"/>
        <w:bidi w:val="0"/>
        <w:jc w:val="both"/>
        <w:spacing w:before="0" w:after="0" w:line="302" w:lineRule="exact"/>
        <w:ind w:left="0" w:right="0" w:firstLine="0"/>
      </w:pPr>
      <w:r>
        <w:rPr>
          <w:lang w:val="ru-RU" w:eastAsia="ru-RU" w:bidi="ru-RU"/>
          <w:sz w:val="24"/>
          <w:szCs w:val="24"/>
          <w:w w:val="100"/>
          <w:spacing w:val="0"/>
          <w:color w:val="000000"/>
          <w:position w:val="0"/>
        </w:rPr>
        <w:t>К. Маркса, ул., д. 19,</w:t>
      </w:r>
    </w:p>
    <w:p>
      <w:pPr>
        <w:pStyle w:val="Style5"/>
        <w:widowControl w:val="0"/>
        <w:keepNext w:val="0"/>
        <w:keepLines w:val="0"/>
        <w:shd w:val="clear" w:color="auto" w:fill="auto"/>
        <w:bidi w:val="0"/>
        <w:jc w:val="both"/>
        <w:spacing w:before="0" w:after="0" w:line="302" w:lineRule="exact"/>
        <w:ind w:left="0" w:right="0" w:firstLine="0"/>
        <w:sectPr>
          <w:type w:val="continuous"/>
          <w:pgSz w:w="11906" w:h="16838"/>
          <w:pgMar w:top="638" w:left="726" w:right="1139" w:bottom="273" w:header="0" w:footer="3" w:gutter="0"/>
          <w:rtlGutter w:val="0"/>
          <w:cols w:num="2" w:space="720" w:equalWidth="0">
            <w:col w:w="4267" w:space="1046"/>
            <w:col w:w="4728"/>
          </w:cols>
          <w:noEndnote/>
          <w:docGrid w:linePitch="360"/>
        </w:sectPr>
      </w:pPr>
      <w:r>
        <w:rPr>
          <w:lang w:val="ru-RU" w:eastAsia="ru-RU" w:bidi="ru-RU"/>
          <w:sz w:val="24"/>
          <w:szCs w:val="24"/>
          <w:w w:val="100"/>
          <w:spacing w:val="0"/>
          <w:color w:val="000000"/>
          <w:position w:val="0"/>
        </w:rPr>
        <w:t xml:space="preserve">шт. Магдагачи, Амурская область, 676124 </w:t>
      </w:r>
      <w:r>
        <w:rPr>
          <w:lang w:val="en-US" w:eastAsia="en-US" w:bidi="en-US"/>
          <w:sz w:val="24"/>
          <w:szCs w:val="24"/>
          <w:w w:val="100"/>
          <w:spacing w:val="0"/>
          <w:color w:val="000000"/>
          <w:position w:val="0"/>
        </w:rPr>
        <w:t xml:space="preserve">e-mail: </w:t>
      </w:r>
      <w:r>
        <w:fldChar w:fldCharType="begin"/>
      </w:r>
      <w:r>
        <w:rPr>
          <w:color w:val="000000"/>
        </w:rPr>
        <w:instrText> HYPERLINK "mailto:z676124@mail.ru" </w:instrText>
      </w:r>
      <w:r>
        <w:fldChar w:fldCharType="separate"/>
      </w:r>
      <w:r>
        <w:rPr>
          <w:rStyle w:val="Hyperlink"/>
          <w:lang w:val="en-US" w:eastAsia="en-US" w:bidi="en-US"/>
          <w:sz w:val="24"/>
          <w:szCs w:val="24"/>
          <w:w w:val="100"/>
          <w:spacing w:val="0"/>
          <w:position w:val="0"/>
        </w:rPr>
        <w:t>z676124@mail.ru</w:t>
      </w:r>
      <w:r>
        <w:fldChar w:fldCharType="end"/>
      </w:r>
    </w:p>
    <w:p>
      <w:pPr>
        <w:widowControl w:val="0"/>
        <w:spacing w:line="138" w:lineRule="exact"/>
        <w:rPr>
          <w:sz w:val="11"/>
          <w:szCs w:val="11"/>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1"/>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ул. Амурская, </w:t>
      </w:r>
      <w:r>
        <w:rPr>
          <w:rStyle w:val="CharStyle13"/>
          <w:b w:val="0"/>
          <w:bCs w:val="0"/>
        </w:rPr>
        <w:t xml:space="preserve">150, г. Благовещенск, Амурская область. 675000 </w:t>
      </w:r>
      <w:r>
        <w:rPr>
          <w:lang w:val="ru-RU" w:eastAsia="ru-RU" w:bidi="ru-RU"/>
          <w:w w:val="100"/>
          <w:spacing w:val="0"/>
          <w:color w:val="000000"/>
          <w:position w:val="0"/>
        </w:rPr>
        <w:t>тел. (4162) 52-00-07, факс (4162) 52-00-35</w:t>
      </w:r>
    </w:p>
    <w:p>
      <w:pPr>
        <w:pStyle w:val="Style14"/>
        <w:widowControl w:val="0"/>
        <w:keepNext w:val="0"/>
        <w:keepLines w:val="0"/>
        <w:shd w:val="clear" w:color="auto" w:fill="auto"/>
        <w:bidi w:val="0"/>
        <w:spacing w:before="0" w:after="0"/>
        <w:ind w:left="0" w:right="0" w:firstLine="0"/>
      </w:pPr>
      <w:r>
        <w:rPr>
          <w:w w:val="100"/>
          <w:spacing w:val="0"/>
          <w:color w:val="000000"/>
          <w:position w:val="0"/>
        </w:rPr>
        <w:t xml:space="preserve">E-mail: </w:t>
      </w:r>
      <w:r>
        <w:fldChar w:fldCharType="begin"/>
      </w:r>
      <w:r>
        <w:rPr>
          <w:color w:val="000000"/>
        </w:rPr>
        <w:instrText> HYPERLINK "mailto:to28@fas.gov.ru" </w:instrText>
      </w:r>
      <w:r>
        <w:fldChar w:fldCharType="separate"/>
      </w:r>
      <w:r>
        <w:rPr>
          <w:rStyle w:val="Hyperlink"/>
          <w:w w:val="100"/>
          <w:spacing w:val="0"/>
          <w:position w:val="0"/>
        </w:rPr>
        <w:t>to28@fas.gov.ru</w:t>
      </w:r>
      <w:r>
        <w:fldChar w:fldCharType="end"/>
      </w:r>
    </w:p>
    <w:p>
      <w:pPr>
        <w:pStyle w:val="Style3"/>
        <w:widowControl w:val="0"/>
        <w:keepNext w:val="0"/>
        <w:keepLines w:val="0"/>
        <w:shd w:val="clear" w:color="auto" w:fill="auto"/>
        <w:bidi w:val="0"/>
        <w:jc w:val="both"/>
        <w:spacing w:before="0" w:after="0" w:line="240" w:lineRule="exact"/>
        <w:ind w:left="0" w:right="0" w:firstLine="0"/>
      </w:pPr>
      <w:r>
        <w:rPr>
          <w:lang w:val="ru-RU" w:eastAsia="ru-RU" w:bidi="ru-RU"/>
          <w:sz w:val="24"/>
          <w:szCs w:val="24"/>
          <w:w w:val="100"/>
          <w:spacing w:val="0"/>
          <w:color w:val="000000"/>
          <w:position w:val="0"/>
        </w:rPr>
        <w:t>Заявителю:</w:t>
      </w:r>
    </w:p>
    <w:p>
      <w:pPr>
        <w:pStyle w:val="Style5"/>
        <w:widowControl w:val="0"/>
        <w:keepNext w:val="0"/>
        <w:keepLines w:val="0"/>
        <w:shd w:val="clear" w:color="auto" w:fill="auto"/>
        <w:bidi w:val="0"/>
        <w:jc w:val="both"/>
        <w:spacing w:before="0" w:after="0" w:line="307" w:lineRule="exact"/>
        <w:ind w:left="0" w:right="0" w:firstLine="0"/>
        <w:sectPr>
          <w:type w:val="continuous"/>
          <w:pgSz w:w="11906" w:h="16838"/>
          <w:pgMar w:top="638" w:left="1115" w:right="875" w:bottom="273" w:header="0" w:footer="3" w:gutter="0"/>
          <w:rtlGutter w:val="0"/>
          <w:cols w:num="2" w:space="720" w:equalWidth="0">
            <w:col w:w="3494" w:space="1435"/>
            <w:col w:w="4987"/>
          </w:cols>
          <w:noEndnote/>
          <w:docGrid w:linePitch="360"/>
        </w:sectPr>
      </w:pPr>
      <w:r>
        <w:rPr>
          <w:lang w:val="ru-RU" w:eastAsia="ru-RU" w:bidi="ru-RU"/>
          <w:sz w:val="24"/>
          <w:szCs w:val="24"/>
          <w:w w:val="100"/>
          <w:spacing w:val="0"/>
          <w:color w:val="000000"/>
          <w:position w:val="0"/>
        </w:rPr>
        <w:t>Обществу с ограниченной ответственностью «КомплектСервис»</w:t>
      </w:r>
    </w:p>
    <w:p>
      <w:pPr>
        <w:widowControl w:val="0"/>
        <w:spacing w:before="51" w:after="5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framePr w:h="200" w:wrap="around" w:vAnchor="text" w:hAnchor="margin" w:x="-5313" w:y="28"/>
        <w:widowControl w:val="0"/>
        <w:keepNext w:val="0"/>
        <w:keepLines w:val="0"/>
        <w:shd w:val="clear" w:color="auto" w:fill="auto"/>
        <w:bidi w:val="0"/>
        <w:jc w:val="left"/>
        <w:spacing w:before="0" w:after="0" w:line="200" w:lineRule="exact"/>
        <w:ind w:left="0" w:right="0" w:firstLine="0"/>
      </w:pPr>
      <w:r>
        <w:rPr>
          <w:rStyle w:val="CharStyle16"/>
          <w:b/>
          <w:bCs/>
          <w:spacing w:val="0"/>
        </w:rPr>
        <w:t>На №</w:t>
      </w:r>
    </w:p>
    <w:p>
      <w:pPr>
        <w:pStyle w:val="Style17"/>
        <w:framePr w:h="210" w:wrap="around" w:vAnchor="text" w:hAnchor="margin" w:x="-2740" w:y="1"/>
        <w:widowControl w:val="0"/>
        <w:keepNext w:val="0"/>
        <w:keepLines w:val="0"/>
        <w:shd w:val="clear" w:color="auto" w:fill="auto"/>
        <w:bidi w:val="0"/>
        <w:jc w:val="left"/>
        <w:spacing w:before="0" w:after="0" w:line="210" w:lineRule="exact"/>
        <w:ind w:left="0" w:right="0" w:firstLine="0"/>
      </w:pPr>
      <w:r>
        <w:rPr>
          <w:lang w:val="ru-RU" w:eastAsia="ru-RU" w:bidi="ru-RU"/>
          <w:w w:val="100"/>
          <w:spacing w:val="-10"/>
          <w:color w:val="000000"/>
          <w:position w:val="0"/>
        </w:rPr>
        <w:t>от</w:t>
      </w:r>
    </w:p>
    <w:p>
      <w:pPr>
        <w:pStyle w:val="Style5"/>
        <w:widowControl w:val="0"/>
        <w:keepNext w:val="0"/>
        <w:keepLines w:val="0"/>
        <w:shd w:val="clear" w:color="auto" w:fill="auto"/>
        <w:bidi w:val="0"/>
        <w:jc w:val="left"/>
        <w:spacing w:before="0" w:after="0" w:line="240" w:lineRule="exact"/>
        <w:ind w:left="0" w:right="0" w:firstLine="0"/>
        <w:sectPr>
          <w:type w:val="continuous"/>
          <w:pgSz w:w="11906" w:h="16838"/>
          <w:pgMar w:top="638" w:left="6049" w:right="3227" w:bottom="273" w:header="0" w:footer="3" w:gutter="0"/>
          <w:rtlGutter w:val="0"/>
          <w:cols w:space="720"/>
          <w:noEndnote/>
          <w:docGrid w:linePitch="360"/>
        </w:sectPr>
      </w:pPr>
      <w:r>
        <w:rPr>
          <w:lang w:val="en-US" w:eastAsia="en-US" w:bidi="en-US"/>
          <w:sz w:val="24"/>
          <w:szCs w:val="24"/>
          <w:w w:val="100"/>
          <w:spacing w:val="0"/>
          <w:color w:val="000000"/>
          <w:position w:val="0"/>
        </w:rPr>
        <w:t xml:space="preserve">e-mail: </w:t>
      </w:r>
      <w:r>
        <w:fldChar w:fldCharType="begin"/>
      </w:r>
      <w:r>
        <w:rPr>
          <w:color w:val="000000"/>
        </w:rPr>
        <w:instrText> HYPERLINK "mailto:kcsb@mail.ru" </w:instrText>
      </w:r>
      <w:r>
        <w:fldChar w:fldCharType="separate"/>
      </w:r>
      <w:r>
        <w:rPr>
          <w:rStyle w:val="Hyperlink"/>
          <w:lang w:val="en-US" w:eastAsia="en-US" w:bidi="en-US"/>
          <w:sz w:val="24"/>
          <w:szCs w:val="24"/>
          <w:w w:val="100"/>
          <w:spacing w:val="0"/>
          <w:position w:val="0"/>
        </w:rPr>
        <w:t>kcsb@mail.ru</w:t>
      </w:r>
      <w:r>
        <w:fldChar w:fldCharType="end"/>
      </w:r>
    </w:p>
    <w:p>
      <w:pPr>
        <w:widowControl w:val="0"/>
        <w:spacing w:before="47" w:after="4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center"/>
        <w:spacing w:before="0" w:after="0" w:line="298" w:lineRule="exact"/>
        <w:ind w:left="0" w:right="0" w:firstLine="0"/>
        <w:sectPr>
          <w:type w:val="continuous"/>
          <w:pgSz w:w="11906" w:h="16838"/>
          <w:pgMar w:top="638" w:left="4278" w:right="3760" w:bottom="273" w:header="0" w:footer="3" w:gutter="0"/>
          <w:rtlGutter w:val="0"/>
          <w:cols w:space="720"/>
          <w:noEndnote/>
          <w:docGrid w:linePitch="360"/>
        </w:sectPr>
      </w:pPr>
      <w:r>
        <w:rPr>
          <w:lang w:val="ru-RU" w:eastAsia="ru-RU" w:bidi="ru-RU"/>
          <w:sz w:val="24"/>
          <w:szCs w:val="24"/>
          <w:w w:val="100"/>
          <w:spacing w:val="0"/>
          <w:color w:val="000000"/>
          <w:position w:val="0"/>
        </w:rPr>
        <w:t>РЕШЕНИЕ по делу № 028/06/105-385/2020</w:t>
      </w:r>
    </w:p>
    <w:p>
      <w:pPr>
        <w:widowControl w:val="0"/>
        <w:spacing w:before="45" w:after="4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framePr w:h="230" w:wrap="around" w:vAnchor="text" w:hAnchor="margin" w:x="-37" w:y="-1"/>
        <w:widowControl w:val="0"/>
        <w:keepNext w:val="0"/>
        <w:keepLines w:val="0"/>
        <w:shd w:val="clear" w:color="auto" w:fill="auto"/>
        <w:bidi w:val="0"/>
        <w:jc w:val="left"/>
        <w:spacing w:before="0" w:after="0" w:line="230" w:lineRule="exact"/>
        <w:ind w:left="0" w:right="0" w:firstLine="0"/>
      </w:pPr>
      <w:r>
        <w:rPr>
          <w:rStyle w:val="CharStyle19"/>
          <w:spacing w:val="0"/>
        </w:rPr>
        <w:t>03.08.2020</w:t>
      </w:r>
    </w:p>
    <w:p>
      <w:pPr>
        <w:pStyle w:val="Style5"/>
        <w:widowControl w:val="0"/>
        <w:keepNext w:val="0"/>
        <w:keepLines w:val="0"/>
        <w:shd w:val="clear" w:color="auto" w:fill="auto"/>
        <w:bidi w:val="0"/>
        <w:jc w:val="right"/>
        <w:spacing w:before="0" w:after="12" w:line="240" w:lineRule="exact"/>
        <w:ind w:left="0" w:right="20" w:firstLine="0"/>
      </w:pPr>
      <w:r>
        <w:rPr>
          <w:lang w:val="ru-RU" w:eastAsia="ru-RU" w:bidi="ru-RU"/>
          <w:sz w:val="24"/>
          <w:szCs w:val="24"/>
          <w:w w:val="100"/>
          <w:spacing w:val="0"/>
          <w:color w:val="000000"/>
          <w:position w:val="0"/>
        </w:rPr>
        <w:t>г. Благовещенск</w:t>
      </w:r>
    </w:p>
    <w:p>
      <w:pPr>
        <w:pStyle w:val="Style5"/>
        <w:widowControl w:val="0"/>
        <w:keepNext w:val="0"/>
        <w:keepLines w:val="0"/>
        <w:shd w:val="clear" w:color="auto" w:fill="auto"/>
        <w:bidi w:val="0"/>
        <w:jc w:val="both"/>
        <w:spacing w:before="0" w:after="256" w:line="240" w:lineRule="exact"/>
        <w:ind w:left="20" w:right="0" w:firstLine="0"/>
      </w:pPr>
      <w:r>
        <w:rPr>
          <w:lang w:val="ru-RU" w:eastAsia="ru-RU" w:bidi="ru-RU"/>
          <w:sz w:val="24"/>
          <w:szCs w:val="24"/>
          <w:w w:val="100"/>
          <w:spacing w:val="0"/>
          <w:color w:val="000000"/>
          <w:position w:val="0"/>
        </w:rPr>
        <w:t>(решение в полном объеме изготовлено 05.08.2020)</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Комиссия управления Федеральной антимонопольной службы по Амурской области (далее - Амурское У ФАС России) по контролю в сфере закупок в составе: Горячевой Н.В. - заместителя руководителя управления, председателя Комиссии; Стрелковой Е.В. - главного специалиста-эксперта отдела контроля закупок; Левченко И.И. - специалиста-эксперта указанного отдела,</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присутствии представителей: от заявителя жалобы - общества с ограниченной ответственностью «КомплектСервис» (далее - ООО «КомплектСервис», заявитель) Кряжева Е.В., действующего на основании доверенности от 26.06.2020 б/н,</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(стороне по делу разъяснены права, порядок рассмотрения дела, сообщено о ведении аудио- и видеозаписи заседания Комиссии Амурского У ФАС России),</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отсутствие представителя муниципального заказчика - администрации Магдагачинского района Амурской области (далее - Заказчик), уведомленного надлежащим образом о дате и времени рассмотрения настоящего дела, представившего ходатайство о рассмотрении дела без участия представителя,</w:t>
      </w:r>
    </w:p>
    <w:p>
      <w:pPr>
        <w:pStyle w:val="Style5"/>
        <w:tabs>
          <w:tab w:leader="none" w:pos="9946" w:val="right"/>
        </w:tabs>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рассмотрела поступившую в Амурское У ФАС России жалобу ООО «КомплектСервис» на действия Заказчика при осуществлении закупки способом открытого аукциона в электронной форме на право заключения муниципального контракта на поставку насосов, объявленной извещением от 14.07.2020</w:t>
        <w:tab/>
        <w:t>№</w:t>
      </w:r>
    </w:p>
    <w:p>
      <w:pPr>
        <w:pStyle w:val="Style5"/>
        <w:tabs>
          <w:tab w:leader="none" w:pos="4503" w:val="left"/>
        </w:tabs>
        <w:widowControl w:val="0"/>
        <w:keepNext w:val="0"/>
        <w:keepLines w:val="0"/>
        <w:shd w:val="clear" w:color="auto" w:fill="auto"/>
        <w:bidi w:val="0"/>
        <w:jc w:val="both"/>
        <w:spacing w:before="0" w:after="0" w:line="298" w:lineRule="exact"/>
        <w:ind w:left="20" w:right="20" w:firstLine="0"/>
      </w:pPr>
      <w:r>
        <w:rPr>
          <w:lang w:val="ru-RU" w:eastAsia="ru-RU" w:bidi="ru-RU"/>
          <w:sz w:val="24"/>
          <w:szCs w:val="24"/>
          <w:w w:val="100"/>
          <w:spacing w:val="0"/>
          <w:color w:val="000000"/>
          <w:position w:val="0"/>
        </w:rPr>
        <w:t xml:space="preserve">0123300015620000033 на официальном сайте Единой информационной системы в сфере закупок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 xml:space="preserve">и на электронной площадке ООО «РТС-тендер» </w:t>
      </w:r>
      <w:r>
        <w:rPr>
          <w:lang w:val="en-US" w:eastAsia="en-US" w:bidi="en-US"/>
          <w:sz w:val="24"/>
          <w:szCs w:val="24"/>
          <w:w w:val="100"/>
          <w:spacing w:val="0"/>
          <w:color w:val="000000"/>
          <w:position w:val="0"/>
        </w:rPr>
        <w:t xml:space="preserve">www.rts- tender.ru, </w:t>
      </w:r>
      <w:r>
        <w:rPr>
          <w:lang w:val="ru-RU" w:eastAsia="ru-RU" w:bidi="ru-RU"/>
          <w:sz w:val="24"/>
          <w:szCs w:val="24"/>
          <w:w w:val="100"/>
          <w:spacing w:val="0"/>
          <w:color w:val="000000"/>
          <w:position w:val="0"/>
        </w:rPr>
        <w:t>выразившиеся, по мнению заявителя, в нарушении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 именно:</w:t>
        <w:tab/>
        <w:t>необоснованном отклонении заявки ООО</w:t>
      </w:r>
    </w:p>
    <w:p>
      <w:pPr>
        <w:pStyle w:val="Style5"/>
        <w:widowControl w:val="0"/>
        <w:keepNext w:val="0"/>
        <w:keepLines w:val="0"/>
        <w:shd w:val="clear" w:color="auto" w:fill="auto"/>
        <w:bidi w:val="0"/>
        <w:jc w:val="both"/>
        <w:spacing w:before="0" w:after="0" w:line="298" w:lineRule="exact"/>
        <w:ind w:left="20" w:right="0" w:firstLine="0"/>
      </w:pPr>
      <w:r>
        <w:rPr>
          <w:lang w:val="ru-RU" w:eastAsia="ru-RU" w:bidi="ru-RU"/>
          <w:sz w:val="24"/>
          <w:szCs w:val="24"/>
          <w:w w:val="100"/>
          <w:spacing w:val="0"/>
          <w:color w:val="000000"/>
          <w:position w:val="0"/>
        </w:rPr>
        <w:t>«КомплектСервис».</w:t>
      </w:r>
    </w:p>
    <w:p>
      <w:pPr>
        <w:pStyle w:val="Style5"/>
        <w:widowControl w:val="0"/>
        <w:keepNext w:val="0"/>
        <w:keepLines w:val="0"/>
        <w:shd w:val="clear" w:color="auto" w:fill="auto"/>
        <w:bidi w:val="0"/>
        <w:jc w:val="right"/>
        <w:spacing w:before="0" w:after="526" w:line="298" w:lineRule="exact"/>
        <w:ind w:left="20" w:right="20" w:firstLine="0"/>
      </w:pPr>
      <w:r>
        <w:rPr>
          <w:lang w:val="ru-RU" w:eastAsia="ru-RU" w:bidi="ru-RU"/>
          <w:sz w:val="24"/>
          <w:szCs w:val="24"/>
          <w:w w:val="100"/>
          <w:spacing w:val="0"/>
          <w:color w:val="000000"/>
          <w:position w:val="0"/>
        </w:rPr>
        <w:t>В связи с угрозой распространения на территории Российской Федерации новой коронавирусной инфекции (201</w:t>
      </w:r>
      <w:r>
        <w:rPr>
          <w:lang w:val="en-US" w:eastAsia="en-US" w:bidi="en-US"/>
          <w:sz w:val="24"/>
          <w:szCs w:val="24"/>
          <w:w w:val="100"/>
          <w:spacing w:val="0"/>
          <w:color w:val="000000"/>
          <w:position w:val="0"/>
        </w:rPr>
        <w:t>9-nCo</w:t>
      </w:r>
      <w:r>
        <w:rPr>
          <w:lang w:val="ru-RU" w:eastAsia="ru-RU" w:bidi="ru-RU"/>
          <w:sz w:val="24"/>
          <w:szCs w:val="24"/>
          <w:w w:val="100"/>
          <w:spacing w:val="0"/>
          <w:color w:val="000000"/>
          <w:position w:val="0"/>
        </w:rPr>
        <w:t>V), в соответствии со статьей 14 Федерального</w:t>
      </w:r>
    </w:p>
    <w:p>
      <w:pPr>
        <w:pStyle w:val="Style3"/>
        <w:widowControl w:val="0"/>
        <w:keepNext w:val="0"/>
        <w:keepLines w:val="0"/>
        <w:shd w:val="clear" w:color="auto" w:fill="auto"/>
        <w:bidi w:val="0"/>
        <w:jc w:val="right"/>
        <w:spacing w:before="0" w:after="0" w:line="240" w:lineRule="exact"/>
        <w:ind w:left="0" w:right="140" w:firstLine="0"/>
      </w:pPr>
      <w:r>
        <w:rPr>
          <w:lang w:val="ru-RU" w:eastAsia="ru-RU" w:bidi="ru-RU"/>
          <w:sz w:val="24"/>
          <w:szCs w:val="24"/>
          <w:w w:val="100"/>
          <w:spacing w:val="0"/>
          <w:color w:val="000000"/>
          <w:position w:val="0"/>
        </w:rPr>
        <w:t>080934 *</w:t>
      </w:r>
      <w:r>
        <w:br w:type="page"/>
      </w:r>
    </w:p>
    <w:p>
      <w:pPr>
        <w:pStyle w:val="Style5"/>
        <w:tabs>
          <w:tab w:leader="none" w:pos="8670" w:val="left"/>
          <w:tab w:leader="none" w:pos="9212" w:val="left"/>
        </w:tabs>
        <w:widowControl w:val="0"/>
        <w:keepNext w:val="0"/>
        <w:keepLines w:val="0"/>
        <w:shd w:val="clear" w:color="auto" w:fill="auto"/>
        <w:bidi w:val="0"/>
        <w:jc w:val="both"/>
        <w:spacing w:before="0" w:after="0" w:line="298" w:lineRule="exact"/>
        <w:ind w:left="20" w:right="20" w:firstLine="0"/>
      </w:pPr>
      <w:r>
        <w:rPr>
          <w:lang w:val="ru-RU" w:eastAsia="ru-RU" w:bidi="ru-RU"/>
          <w:sz w:val="24"/>
          <w:szCs w:val="24"/>
          <w:w w:val="100"/>
          <w:spacing w:val="0"/>
          <w:color w:val="000000"/>
          <w:position w:val="0"/>
        </w:rPr>
        <w:t xml:space="preserve">закона от 21.12.1994 № 68-ФЗ «О защите населения и территорий от чрезвычайных ситуаций природного и техногенного характера», а также в целях обеспечения соблюдения положений Федерального закона от 30.03.1999 № 52-ФЗ «О санитарно- эпидемиологическом благополучии населения», постановлений Главного государственного санитарного врача Российской Федерации от 24.01.2020 № 2 «О дополнительных мероприятиях по недопущению завоза и распространения новой коронавирусной инфекции, вызванной </w:t>
      </w:r>
      <w:r>
        <w:rPr>
          <w:lang w:val="en-US" w:eastAsia="en-US" w:bidi="en-US"/>
          <w:sz w:val="24"/>
          <w:szCs w:val="24"/>
          <w:w w:val="100"/>
          <w:spacing w:val="0"/>
          <w:color w:val="000000"/>
          <w:position w:val="0"/>
        </w:rPr>
        <w:t xml:space="preserve">2019-nCoV», </w:t>
      </w:r>
      <w:r>
        <w:rPr>
          <w:lang w:val="ru-RU" w:eastAsia="ru-RU" w:bidi="ru-RU"/>
          <w:sz w:val="24"/>
          <w:szCs w:val="24"/>
          <w:w w:val="100"/>
          <w:spacing w:val="0"/>
          <w:color w:val="000000"/>
          <w:position w:val="0"/>
        </w:rPr>
        <w:t>от 02.03.2020</w:t>
        <w:tab/>
        <w:t>№</w:t>
        <w:tab/>
        <w:t>5 «О</w:t>
      </w:r>
    </w:p>
    <w:p>
      <w:pPr>
        <w:pStyle w:val="Style5"/>
        <w:widowControl w:val="0"/>
        <w:keepNext w:val="0"/>
        <w:keepLines w:val="0"/>
        <w:shd w:val="clear" w:color="auto" w:fill="auto"/>
        <w:bidi w:val="0"/>
        <w:jc w:val="both"/>
        <w:spacing w:before="0" w:after="0" w:line="298" w:lineRule="exact"/>
        <w:ind w:left="20" w:right="20" w:firstLine="0"/>
      </w:pPr>
      <w:r>
        <w:rPr>
          <w:lang w:val="ru-RU" w:eastAsia="ru-RU" w:bidi="ru-RU"/>
          <w:sz w:val="24"/>
          <w:szCs w:val="24"/>
          <w:w w:val="100"/>
          <w:spacing w:val="0"/>
          <w:color w:val="000000"/>
          <w:position w:val="0"/>
        </w:rPr>
        <w:t xml:space="preserve">дополнительных мерах по снижению рисков завоза и распространения новой коронавирусной инфекции </w:t>
      </w:r>
      <w:r>
        <w:rPr>
          <w:lang w:val="en-US" w:eastAsia="en-US" w:bidi="en-US"/>
          <w:sz w:val="24"/>
          <w:szCs w:val="24"/>
          <w:w w:val="100"/>
          <w:spacing w:val="0"/>
          <w:color w:val="000000"/>
          <w:position w:val="0"/>
        </w:rPr>
        <w:t xml:space="preserve">(2019-nCoV)» </w:t>
      </w:r>
      <w:r>
        <w:rPr>
          <w:lang w:val="ru-RU" w:eastAsia="ru-RU" w:bidi="ru-RU"/>
          <w:sz w:val="24"/>
          <w:szCs w:val="24"/>
          <w:w w:val="100"/>
          <w:spacing w:val="0"/>
          <w:color w:val="000000"/>
          <w:position w:val="0"/>
        </w:rPr>
        <w:t xml:space="preserve">заседание Комиссии Амурского УФАС России осуществлено в дистанционном режиме, без очного участия представителей заинтересованных сторон, посредством плагина </w:t>
      </w:r>
      <w:r>
        <w:rPr>
          <w:lang w:val="en-US" w:eastAsia="en-US" w:bidi="en-US"/>
          <w:sz w:val="24"/>
          <w:szCs w:val="24"/>
          <w:w w:val="100"/>
          <w:spacing w:val="0"/>
          <w:color w:val="000000"/>
          <w:position w:val="0"/>
        </w:rPr>
        <w:t xml:space="preserve">«Videomost Plugin» </w:t>
      </w:r>
      <w:r>
        <w:rPr>
          <w:lang w:val="ru-RU" w:eastAsia="ru-RU" w:bidi="ru-RU"/>
          <w:sz w:val="24"/>
          <w:szCs w:val="24"/>
          <w:w w:val="100"/>
          <w:spacing w:val="0"/>
          <w:color w:val="000000"/>
          <w:position w:val="0"/>
        </w:rPr>
        <w:t>в режиме видеоконференцсвязи.</w:t>
      </w:r>
    </w:p>
    <w:p>
      <w:pPr>
        <w:pStyle w:val="Style5"/>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На заседании Комиссии Амурского УФАС России представитель ООО «КомплектСервис» поддержал доводы жалобы, пояснил, что заявка общества необоснованно отклонена аукционной комиссией Заказчика. Просит отменить результаты рассмотрения комиссией Заказчика заявок участников аукциона и выдать Заказчику предписание об устранении нарушений Закона о контрактной системе.</w:t>
      </w:r>
    </w:p>
    <w:p>
      <w:pPr>
        <w:pStyle w:val="Style5"/>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Заказчиком в материалы дела представлены письменные пояснения, из которых следует, что Заказчик с доводами жалобы не согласен; заявка ООО «КомплектСервис» отклонена членами аукционной комиссии Заказчика поскольку названным участником в первой части заявки на участие в аукционе не указаны конкретные характеристики показателей товара (показатели назначения по параметрам в номинальном режиме и показатели эффективности), следовательно, у аукционной комиссии Заказчика отсутствовали правовые основания для допуска указанного участника к участию в аукционе. Заказчик просит признать жалобу необоснованной.</w:t>
      </w:r>
    </w:p>
    <w:p>
      <w:pPr>
        <w:pStyle w:val="Style5"/>
        <w:widowControl w:val="0"/>
        <w:keepNext w:val="0"/>
        <w:keepLines w:val="0"/>
        <w:shd w:val="clear" w:color="auto" w:fill="auto"/>
        <w:bidi w:val="0"/>
        <w:jc w:val="both"/>
        <w:spacing w:before="0" w:after="286" w:line="298" w:lineRule="exact"/>
        <w:ind w:left="20" w:right="20" w:firstLine="700"/>
      </w:pPr>
      <w:r>
        <w:rPr>
          <w:lang w:val="ru-RU" w:eastAsia="ru-RU" w:bidi="ru-RU"/>
          <w:sz w:val="24"/>
          <w:szCs w:val="24"/>
          <w:w w:val="100"/>
          <w:spacing w:val="0"/>
          <w:color w:val="000000"/>
          <w:position w:val="0"/>
        </w:rPr>
        <w:t>Комиссия Амурского УФАС России, рассмотрев жалобу, заслушав представителя стороны по делу, исследовав материалы дела,</w:t>
      </w:r>
    </w:p>
    <w:p>
      <w:pPr>
        <w:pStyle w:val="Style5"/>
        <w:widowControl w:val="0"/>
        <w:keepNext w:val="0"/>
        <w:keepLines w:val="0"/>
        <w:shd w:val="clear" w:color="auto" w:fill="auto"/>
        <w:bidi w:val="0"/>
        <w:jc w:val="left"/>
        <w:spacing w:before="0" w:after="266" w:line="240" w:lineRule="exact"/>
        <w:ind w:left="4380" w:right="0" w:firstLine="0"/>
      </w:pPr>
      <w:r>
        <w:rPr>
          <w:lang w:val="ru-RU" w:eastAsia="ru-RU" w:bidi="ru-RU"/>
          <w:sz w:val="24"/>
          <w:szCs w:val="24"/>
          <w:w w:val="100"/>
          <w:spacing w:val="0"/>
          <w:color w:val="000000"/>
          <w:position w:val="0"/>
        </w:rPr>
        <w:t>УСТАНОВИЛА:</w:t>
      </w:r>
    </w:p>
    <w:p>
      <w:pPr>
        <w:pStyle w:val="Style5"/>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 xml:space="preserve">14.07.2020 Заказчиком в Единой информационной системе в сфере закупок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 xml:space="preserve">и на электронной площадке ООО «РТС-тендер» </w:t>
      </w:r>
      <w:r>
        <w:fldChar w:fldCharType="begin"/>
      </w:r>
      <w:r>
        <w:rPr>
          <w:color w:val="000000"/>
        </w:rPr>
        <w:instrText> HYPERLINK "http://www.rts-tender.ru" </w:instrText>
      </w:r>
      <w:r>
        <w:fldChar w:fldCharType="separate"/>
      </w:r>
      <w:r>
        <w:rPr>
          <w:rStyle w:val="Hyperlink"/>
          <w:lang w:val="en-US" w:eastAsia="en-US" w:bidi="en-US"/>
          <w:sz w:val="24"/>
          <w:szCs w:val="24"/>
          <w:w w:val="100"/>
          <w:spacing w:val="0"/>
          <w:position w:val="0"/>
        </w:rPr>
        <w:t>www.rts-tender.ru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размещено извещение № 0123300015620000033 о проведении открытого аукциона в электронной форме на право заключения государственного контракта на право заключения муниципального контракта на поставку насосов.</w:t>
      </w:r>
    </w:p>
    <w:p>
      <w:pPr>
        <w:pStyle w:val="Style5"/>
        <w:widowControl w:val="0"/>
        <w:keepNext w:val="0"/>
        <w:keepLines w:val="0"/>
        <w:shd w:val="clear" w:color="auto" w:fill="auto"/>
        <w:bidi w:val="0"/>
        <w:jc w:val="both"/>
        <w:spacing w:before="0" w:after="0" w:line="298" w:lineRule="exact"/>
        <w:ind w:left="20" w:right="0" w:firstLine="700"/>
      </w:pPr>
      <w:r>
        <w:rPr>
          <w:lang w:val="ru-RU" w:eastAsia="ru-RU" w:bidi="ru-RU"/>
          <w:sz w:val="24"/>
          <w:szCs w:val="24"/>
          <w:w w:val="100"/>
          <w:spacing w:val="0"/>
          <w:color w:val="000000"/>
          <w:position w:val="0"/>
        </w:rPr>
        <w:t>Начальная (максимальная) цена контракта - 313 980,00 рублей.</w:t>
      </w:r>
    </w:p>
    <w:p>
      <w:pPr>
        <w:pStyle w:val="Style5"/>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Дата и время начала срока подачи заявок - 15.07.2020 в 10:12. Дата и время окончания срока подачи заявок на участие в электронном аукционе - 23.07.2020 в 09:00. Дата окончания срока рассмотрения заявок на участие в электронном аукционе - 24.07.2020. Дата проведения аукциона в электронной форме - 27.07.2020. Время проведения аукциона - 09:40.</w:t>
      </w:r>
    </w:p>
    <w:p>
      <w:pPr>
        <w:pStyle w:val="Style5"/>
        <w:widowControl w:val="0"/>
        <w:keepNext w:val="0"/>
        <w:keepLines w:val="0"/>
        <w:shd w:val="clear" w:color="auto" w:fill="auto"/>
        <w:bidi w:val="0"/>
        <w:jc w:val="both"/>
        <w:spacing w:before="0" w:after="0" w:line="298" w:lineRule="exact"/>
        <w:ind w:left="20" w:right="0" w:firstLine="700"/>
      </w:pPr>
      <w:r>
        <w:rPr>
          <w:lang w:val="ru-RU" w:eastAsia="ru-RU" w:bidi="ru-RU"/>
          <w:sz w:val="24"/>
          <w:szCs w:val="24"/>
          <w:w w:val="100"/>
          <w:spacing w:val="0"/>
          <w:color w:val="000000"/>
          <w:position w:val="0"/>
        </w:rPr>
        <w:t>Из протокола рассмотрения заявок на участие в электронном аукционе от</w:t>
      </w:r>
    </w:p>
    <w:p>
      <w:pPr>
        <w:pStyle w:val="Style5"/>
        <w:numPr>
          <w:ilvl w:val="0"/>
          <w:numId w:val="1"/>
        </w:numPr>
        <w:tabs>
          <w:tab w:leader="none" w:pos="1393" w:val="left"/>
        </w:tabs>
        <w:widowControl w:val="0"/>
        <w:keepNext w:val="0"/>
        <w:keepLines w:val="0"/>
        <w:shd w:val="clear" w:color="auto" w:fill="auto"/>
        <w:bidi w:val="0"/>
        <w:jc w:val="both"/>
        <w:spacing w:before="0" w:after="0" w:line="298" w:lineRule="exact"/>
        <w:ind w:left="20" w:right="20" w:firstLine="0"/>
      </w:pPr>
      <w:r>
        <w:rPr>
          <w:lang w:val="ru-RU" w:eastAsia="ru-RU" w:bidi="ru-RU"/>
          <w:sz w:val="24"/>
          <w:szCs w:val="24"/>
          <w:w w:val="100"/>
          <w:spacing w:val="0"/>
          <w:color w:val="000000"/>
          <w:position w:val="0"/>
        </w:rPr>
        <w:t>№ 0123300015620000033 следует, что на участие в закупке подано двенадцать заявок; участникам, подавшим заявки с идентификационными номерами 107931758, 107938817, 107946979 аукционной комиссией Заказчика отказано в допуске к участию в аукционе ввиду несоответствия информации, предусмотренной частью 3 статьи 66 Закона о контрактной системе, требованиям документации об аукционе (отказ по пункту 2 части 4 статьи 67 Закона о контрактной системе); участники, подавшие заявки с идентификационными номерами 107924374, 107931752, 107934388, 107936859, 107925626, 107939749, 107940986, 107942584, 107945178 допущены к участию в аукционе и признаны участниками аукциона.</w:t>
      </w:r>
    </w:p>
    <w:p>
      <w:pPr>
        <w:pStyle w:val="Style5"/>
        <w:widowControl w:val="0"/>
        <w:keepNext w:val="0"/>
        <w:keepLines w:val="0"/>
        <w:shd w:val="clear" w:color="auto" w:fill="auto"/>
        <w:bidi w:val="0"/>
        <w:jc w:val="both"/>
        <w:spacing w:before="0" w:after="0" w:line="298" w:lineRule="exact"/>
        <w:ind w:left="20" w:right="0" w:firstLine="720"/>
      </w:pPr>
      <w:r>
        <w:rPr>
          <w:lang w:val="ru-RU" w:eastAsia="ru-RU" w:bidi="ru-RU"/>
          <w:sz w:val="24"/>
          <w:szCs w:val="24"/>
          <w:w w:val="100"/>
          <w:spacing w:val="0"/>
          <w:color w:val="000000"/>
          <w:position w:val="0"/>
        </w:rPr>
        <w:t>В соответствии с протоколом подведения итогов электронного аукциона от</w:t>
      </w:r>
    </w:p>
    <w:p>
      <w:pPr>
        <w:pStyle w:val="Style5"/>
        <w:numPr>
          <w:ilvl w:val="0"/>
          <w:numId w:val="3"/>
        </w:numPr>
        <w:tabs>
          <w:tab w:leader="none" w:pos="1331" w:val="left"/>
        </w:tabs>
        <w:widowControl w:val="0"/>
        <w:keepNext w:val="0"/>
        <w:keepLines w:val="0"/>
        <w:shd w:val="clear" w:color="auto" w:fill="auto"/>
        <w:bidi w:val="0"/>
        <w:jc w:val="both"/>
        <w:spacing w:before="0" w:after="0" w:line="298" w:lineRule="exact"/>
        <w:ind w:left="20" w:right="20" w:firstLine="0"/>
      </w:pPr>
      <w:r>
        <w:rPr>
          <w:lang w:val="ru-RU" w:eastAsia="ru-RU" w:bidi="ru-RU"/>
          <w:sz w:val="24"/>
          <w:szCs w:val="24"/>
          <w:w w:val="100"/>
          <w:spacing w:val="0"/>
          <w:color w:val="000000"/>
          <w:position w:val="0"/>
        </w:rPr>
        <w:t>№ 0123300015620000033 на основании рассмотрения вторых частей заявок на участие в электронном аукционе и в соответствии с частью 10 статьи 69 Закона о контрактной системе контракт заключается с участником - обществом с ограниченной ответственностью ООО «УНИВЕРСАЛ-ТРАСТ», который предложил наиболее низкую цену контракта, и заявка на участие в электронном аукционе которого соответствует требованиям, установленным документацией об электронном аукционе.</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Комиссия Амурского УФАС России, исследовав материалы дела, приходит к выводу о необоснованности жалобы ООО «КомплектСервис» ввиду следующего.</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регулируются Законом о контрактной системе.</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Статьей 6 Закона о контрактной системе установлены принципы контрактной системы в сфере закупок, к которым относятся принципы открытости 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Согласно части 4 статьи 24 Закона о контрактной системе одним из конкурентных способов определения поставщиков (подрядчиков, исполнителей) является аукцион, при котором победителем признается участник закупки, котором победителем признается участник закупки, предложивший наименьшую цену контракта.</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силу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 (часть 2 статьи 33 Закона о контрактной системе).</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соответствии с частью 3 статьи 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pPr>
        <w:pStyle w:val="Style5"/>
        <w:numPr>
          <w:ilvl w:val="0"/>
          <w:numId w:val="5"/>
        </w:numPr>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pPr>
        <w:pStyle w:val="Style5"/>
        <w:numPr>
          <w:ilvl w:val="0"/>
          <w:numId w:val="5"/>
        </w:numPr>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 при осуществлении закупки товара, в том числе поставляемого заказчику при выполнении закупаемых работ, оказании закупаемых услуг:</w:t>
      </w:r>
    </w:p>
    <w:p>
      <w:pPr>
        <w:pStyle w:val="Style5"/>
        <w:widowControl w:val="0"/>
        <w:keepNext w:val="0"/>
        <w:keepLines w:val="0"/>
        <w:shd w:val="clear" w:color="auto" w:fill="auto"/>
        <w:bidi w:val="0"/>
        <w:jc w:val="both"/>
        <w:spacing w:before="0" w:after="0" w:line="298" w:lineRule="exact"/>
        <w:ind w:left="20" w:right="0" w:firstLine="720"/>
      </w:pPr>
      <w:r>
        <w:rPr>
          <w:lang w:val="ru-RU" w:eastAsia="ru-RU" w:bidi="ru-RU"/>
          <w:sz w:val="24"/>
          <w:szCs w:val="24"/>
          <w:w w:val="100"/>
          <w:spacing w:val="0"/>
          <w:color w:val="000000"/>
          <w:position w:val="0"/>
        </w:rPr>
        <w:t>а) наименование страны происхождения товара;</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б) </w:t>
      </w:r>
      <w:r>
        <w:rPr>
          <w:rStyle w:val="CharStyle20"/>
        </w:rPr>
        <w:t>конкретные</w:t>
      </w:r>
      <w:r>
        <w:rPr>
          <w:lang w:val="ru-RU" w:eastAsia="ru-RU" w:bidi="ru-RU"/>
          <w:sz w:val="24"/>
          <w:szCs w:val="24"/>
          <w:w w:val="100"/>
          <w:spacing w:val="0"/>
          <w:color w:val="000000"/>
          <w:position w:val="0"/>
        </w:rPr>
        <w:t xml:space="preserve">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Аналогичные требования к составу первой части заявки участников установлены в разделе 2.2.1 документации об электронном аукционе, объявленном извещением №0123300015620000033.</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Соответственно, при заполнении первой части заявки участник электронного аукциона должен указать </w:t>
      </w:r>
      <w:r>
        <w:rPr>
          <w:rStyle w:val="CharStyle20"/>
        </w:rPr>
        <w:t>конкретные</w:t>
      </w:r>
      <w:r>
        <w:rPr>
          <w:lang w:val="ru-RU" w:eastAsia="ru-RU" w:bidi="ru-RU"/>
          <w:sz w:val="24"/>
          <w:szCs w:val="24"/>
          <w:w w:val="100"/>
          <w:spacing w:val="0"/>
          <w:color w:val="000000"/>
          <w:position w:val="0"/>
        </w:rPr>
        <w:t xml:space="preserve"> показатели и значения, соответствующие показателям и значениям, установленным в описании объекта закупки (техническом задании) аукционной документации.</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Согласно части 1 статьи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силу части 4 статьи 67 Закона о контрактной системе участник электронного аукциона не допускается к участию в нем в случае:</w:t>
      </w:r>
    </w:p>
    <w:p>
      <w:pPr>
        <w:pStyle w:val="Style5"/>
        <w:numPr>
          <w:ilvl w:val="0"/>
          <w:numId w:val="7"/>
        </w:numPr>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 непредоставления информации, предусмотренной частью 3 статьи 66 настоящего Федерального закона, или предоставления недостоверной информации;</w:t>
      </w:r>
    </w:p>
    <w:p>
      <w:pPr>
        <w:pStyle w:val="Style5"/>
        <w:numPr>
          <w:ilvl w:val="0"/>
          <w:numId w:val="7"/>
        </w:numPr>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 несоответствия информации, предусмотренной частью 3 статьи 66 настоящего Федерального закона, требованиям документации о таком аукционе.</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Комиссией Амурского УФАС России установлено, что ООО «КомплектСервис» в первой части заявки с идентификационным номером 107931758 в разделе 2.1. Показатели назначения по параметрам в номинальном режиме указано следующее: «модель - СД 16/25; подача, мЗ/час, не менее 16; напор, м.в.ст, не менее 25; мощность, кВт х об/мин, не менее 4,0 х 3000; вход, не менее 40; выход, не менее 32; размеры, не менее </w:t>
      </w:r>
      <w:r>
        <w:rPr>
          <w:lang w:val="en-US" w:eastAsia="en-US" w:bidi="en-US"/>
          <w:sz w:val="24"/>
          <w:szCs w:val="24"/>
          <w:w w:val="100"/>
          <w:spacing w:val="0"/>
          <w:color w:val="000000"/>
          <w:position w:val="0"/>
        </w:rPr>
        <w:t xml:space="preserve">1015x294x410. </w:t>
      </w:r>
      <w:r>
        <w:rPr>
          <w:lang w:val="ru-RU" w:eastAsia="ru-RU" w:bidi="ru-RU"/>
          <w:sz w:val="24"/>
          <w:szCs w:val="24"/>
          <w:w w:val="100"/>
          <w:spacing w:val="0"/>
          <w:color w:val="000000"/>
          <w:position w:val="0"/>
        </w:rPr>
        <w:t xml:space="preserve">Марка насоса: насос К 20/30; подача, мЗ/час, не менее 20; напор, м., не менее 30; Двигатель - мощность, кВт, не менее 4, частота вращения, об/м, не менее 3000; Вход / Выход, не менее </w:t>
      </w:r>
      <w:r>
        <w:rPr>
          <w:lang w:val="en-US" w:eastAsia="en-US" w:bidi="en-US"/>
          <w:sz w:val="24"/>
          <w:szCs w:val="24"/>
          <w:w w:val="100"/>
          <w:spacing w:val="0"/>
          <w:color w:val="000000"/>
          <w:position w:val="0"/>
        </w:rPr>
        <w:t xml:space="preserve">DN </w:t>
      </w:r>
      <w:r>
        <w:rPr>
          <w:lang w:val="ru-RU" w:eastAsia="ru-RU" w:bidi="ru-RU"/>
          <w:sz w:val="24"/>
          <w:szCs w:val="24"/>
          <w:w w:val="100"/>
          <w:spacing w:val="0"/>
          <w:color w:val="000000"/>
          <w:position w:val="0"/>
        </w:rPr>
        <w:t xml:space="preserve">65 / </w:t>
      </w:r>
      <w:r>
        <w:rPr>
          <w:lang w:val="en-US" w:eastAsia="en-US" w:bidi="en-US"/>
          <w:sz w:val="24"/>
          <w:szCs w:val="24"/>
          <w:w w:val="100"/>
          <w:spacing w:val="0"/>
          <w:color w:val="000000"/>
          <w:position w:val="0"/>
        </w:rPr>
        <w:t xml:space="preserve">DN </w:t>
      </w:r>
      <w:r>
        <w:rPr>
          <w:lang w:val="ru-RU" w:eastAsia="ru-RU" w:bidi="ru-RU"/>
          <w:sz w:val="24"/>
          <w:szCs w:val="24"/>
          <w:w w:val="100"/>
          <w:spacing w:val="0"/>
          <w:color w:val="000000"/>
          <w:position w:val="0"/>
        </w:rPr>
        <w:t xml:space="preserve">50; Марка насоса: насос К 45/30; подача, мЗ/час, не менее 45; напор, м., не менее 30; Двигатель - мощность, кВт, не менее 7,5, частота вращения, об/м, не менее 3000; Вход / Выход, не менее </w:t>
      </w:r>
      <w:r>
        <w:rPr>
          <w:lang w:val="en-US" w:eastAsia="en-US" w:bidi="en-US"/>
          <w:sz w:val="24"/>
          <w:szCs w:val="24"/>
          <w:w w:val="100"/>
          <w:spacing w:val="0"/>
          <w:color w:val="000000"/>
          <w:position w:val="0"/>
        </w:rPr>
        <w:t xml:space="preserve">DN </w:t>
      </w:r>
      <w:r>
        <w:rPr>
          <w:lang w:val="ru-RU" w:eastAsia="ru-RU" w:bidi="ru-RU"/>
          <w:sz w:val="24"/>
          <w:szCs w:val="24"/>
          <w:w w:val="100"/>
          <w:spacing w:val="0"/>
          <w:color w:val="000000"/>
          <w:position w:val="0"/>
        </w:rPr>
        <w:t xml:space="preserve">80/ </w:t>
      </w:r>
      <w:r>
        <w:rPr>
          <w:lang w:val="en-US" w:eastAsia="en-US" w:bidi="en-US"/>
          <w:sz w:val="24"/>
          <w:szCs w:val="24"/>
          <w:w w:val="100"/>
          <w:spacing w:val="0"/>
          <w:color w:val="000000"/>
          <w:position w:val="0"/>
        </w:rPr>
        <w:t xml:space="preserve">DN </w:t>
      </w:r>
      <w:r>
        <w:rPr>
          <w:lang w:val="ru-RU" w:eastAsia="ru-RU" w:bidi="ru-RU"/>
          <w:sz w:val="24"/>
          <w:szCs w:val="24"/>
          <w:w w:val="100"/>
          <w:spacing w:val="0"/>
          <w:color w:val="000000"/>
          <w:position w:val="0"/>
        </w:rPr>
        <w:t>50»; в разделе 2.3 Показатели эффективности указано следующее: «Типоразмер электронасоса СД 16/25 (или эквивалент), КПД насоса, % (не менее) 49; масса, кг, (не более) 145; «Типоразмер электронасоса К 20/30 (или эквивалент), КПД насоса, % (не менее) 64; масса, кг, (не более) 80; «Типоразмер электронасоса К 45/30 (или эквивалент), КПД насоса, % (не менее) 72; масса, кг, (не более) 145».</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Таким образом, учитывая, что в заявке ООО «КомплектСервис» отсутствовала информация о конкретных показателях товара - показателях назначения по параметрам в номинальном режиме и показателях эффективности, аукционной комиссией Заказчика правомерно, в соответствии с пунктом 2 части 4 статьи 67 Закона «О контрактной системе», обществу отказано в допуске к участию в аукционе.</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Кроме того, частью 3 статьи 65 Закона «О контрактной системе» предусмотрено, что любой участник электронного аукциона, зарегистрированный в единой информационной системе и аккредитованный на электронной площадке, вправе направить с использованием программно-аппаратных средств электронной площадки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Из материалов дела следует, что соответствующие запросы ООО «КомплектСервис» на адрес электронной площадки не направлялись.</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При этом, довод заявителя о том, что в руководстве по эксплуатации «Насосы центробежные консольные типа К и агрегаты электронасосные на их основе», представленном заявителем в материалы дела указаны параметры товары в значении «не более» либо «не менее», не находит своего подтверждения, поскольку в указанном руководстве указаны точные показатели товара, в частности, такая характеристика насоса как напор в моделе К20/30 составляет 30, в моделе К45/30 - 32; характеристика насоса - подача, мЗ/час также указана в конкретном значении: в моделе К20/30 - 20, в моделе К45/30 - 45.</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Вместе с тем, в рамках внеплановой проверки закупки Комиссией Амурского УФАС России установлено следующее.</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Пунктом 2 части 6 статьи 67 Федерального закона о контрактной системе установлено, что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в том числе информацию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w:t>
        <w:br w:type="page"/>
        <w:t>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Вместе с тем, в нарушение пункта 2 части 6 статьи 67 Закона о контрактной системе протокол рассмотрения заявок на участие в электронном аукционе от 24.07.2020 № 0123300015620000033 не содержит положений документации об электронном аукционе, которым не соответствуют поданные заявки, а также положений заявок, которые не соответствовали требованиям, установленным документацией об электронном аукционе.</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Рассматривая вопрос о необходимости выдачи Заказчику обязательного для исполнения предписания об устранении выявленных нарушений, Комиссия Амурского УФАС России приходит к выводу, что выдача предписания является нецелесообразной ввиду того, что указанное нарушение не повлекло иных результатов закупки.</w:t>
      </w:r>
    </w:p>
    <w:p>
      <w:pPr>
        <w:pStyle w:val="Style5"/>
        <w:widowControl w:val="0"/>
        <w:keepNext w:val="0"/>
        <w:keepLines w:val="0"/>
        <w:shd w:val="clear" w:color="auto" w:fill="auto"/>
        <w:bidi w:val="0"/>
        <w:jc w:val="both"/>
        <w:spacing w:before="0" w:after="286" w:line="298" w:lineRule="exact"/>
        <w:ind w:left="20" w:right="20" w:firstLine="720"/>
      </w:pPr>
      <w:r>
        <w:rPr>
          <w:lang w:val="ru-RU" w:eastAsia="ru-RU" w:bidi="ru-RU"/>
          <w:sz w:val="24"/>
          <w:szCs w:val="24"/>
          <w:w w:val="100"/>
          <w:spacing w:val="0"/>
          <w:color w:val="000000"/>
          <w:position w:val="0"/>
        </w:rPr>
        <w:t xml:space="preserve">Рассмотрев жалобу ООО «КомплектСервис» на действия Заказчика при осуществлении закупки способом открытого аукциона в электронной форме на поставку насосов, объявленной извещением от 14.07.2020 № 0123300015620000033, на официальном сайте Единой информационной системы в сфере закупок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 xml:space="preserve">и на электронной площадке ООО «РТС-тендер» </w:t>
      </w:r>
      <w:r>
        <w:fldChar w:fldCharType="begin"/>
      </w:r>
      <w:r>
        <w:rPr>
          <w:color w:val="000000"/>
        </w:rPr>
        <w:instrText> HYPERLINK "http://www.rts-tender.ru" </w:instrText>
      </w:r>
      <w:r>
        <w:fldChar w:fldCharType="separate"/>
      </w:r>
      <w:r>
        <w:rPr>
          <w:rStyle w:val="Hyperlink"/>
          <w:lang w:val="en-US" w:eastAsia="en-US" w:bidi="en-US"/>
          <w:sz w:val="24"/>
          <w:szCs w:val="24"/>
          <w:w w:val="100"/>
          <w:spacing w:val="0"/>
          <w:position w:val="0"/>
        </w:rPr>
        <w:t>www.rts-tender.ru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руководствуясь пунктом 1 части 3, части 15 статьи 99, части 8 статьи 106 Закона о контрактной системе,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Комиссия Амурского УФАС России приняла</w:t>
      </w:r>
    </w:p>
    <w:p>
      <w:pPr>
        <w:pStyle w:val="Style5"/>
        <w:widowControl w:val="0"/>
        <w:keepNext w:val="0"/>
        <w:keepLines w:val="0"/>
        <w:shd w:val="clear" w:color="auto" w:fill="auto"/>
        <w:bidi w:val="0"/>
        <w:jc w:val="center"/>
        <w:spacing w:before="0" w:after="256" w:line="240" w:lineRule="exact"/>
        <w:ind w:left="0" w:right="0" w:firstLine="0"/>
      </w:pPr>
      <w:r>
        <w:rPr>
          <w:lang w:val="ru-RU" w:eastAsia="ru-RU" w:bidi="ru-RU"/>
          <w:sz w:val="24"/>
          <w:szCs w:val="24"/>
          <w:w w:val="100"/>
          <w:spacing w:val="0"/>
          <w:color w:val="000000"/>
          <w:position w:val="0"/>
        </w:rPr>
        <w:t>РЕШЕНИЕ:</w:t>
      </w:r>
    </w:p>
    <w:p>
      <w:pPr>
        <w:pStyle w:val="Style5"/>
        <w:numPr>
          <w:ilvl w:val="0"/>
          <w:numId w:val="9"/>
        </w:numPr>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 Признать жалобу общества с ограниченной ответственностью «КомплектСервис» необоснованной.</w:t>
      </w:r>
    </w:p>
    <w:p>
      <w:pPr>
        <w:pStyle w:val="Style5"/>
        <w:numPr>
          <w:ilvl w:val="0"/>
          <w:numId w:val="9"/>
        </w:numPr>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 Признать Заказчика - нарушившим пункт 2 части 6 статьи 67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pPr>
        <w:pStyle w:val="Style5"/>
        <w:numPr>
          <w:ilvl w:val="0"/>
          <w:numId w:val="9"/>
        </w:numPr>
        <w:widowControl w:val="0"/>
        <w:keepNext w:val="0"/>
        <w:keepLines w:val="0"/>
        <w:shd w:val="clear" w:color="auto" w:fill="auto"/>
        <w:bidi w:val="0"/>
        <w:jc w:val="both"/>
        <w:spacing w:before="0" w:after="0" w:line="298" w:lineRule="exact"/>
        <w:ind w:left="20" w:right="0" w:firstLine="720"/>
      </w:pPr>
      <w:r>
        <w:rPr>
          <w:lang w:val="ru-RU" w:eastAsia="ru-RU" w:bidi="ru-RU"/>
          <w:sz w:val="24"/>
          <w:szCs w:val="24"/>
          <w:w w:val="100"/>
          <w:spacing w:val="0"/>
          <w:color w:val="000000"/>
          <w:position w:val="0"/>
        </w:rPr>
        <w:t xml:space="preserve"> Предписание об устранении выявленных нарушений не выдавать.</w:t>
      </w:r>
    </w:p>
    <w:p>
      <w:pPr>
        <w:pStyle w:val="Style5"/>
        <w:numPr>
          <w:ilvl w:val="0"/>
          <w:numId w:val="9"/>
        </w:numPr>
        <w:widowControl w:val="0"/>
        <w:keepNext w:val="0"/>
        <w:keepLines w:val="0"/>
        <w:shd w:val="clear" w:color="auto" w:fill="auto"/>
        <w:bidi w:val="0"/>
        <w:jc w:val="both"/>
        <w:spacing w:before="0" w:after="244" w:line="298" w:lineRule="exact"/>
        <w:ind w:left="20" w:right="20" w:firstLine="720"/>
      </w:pPr>
      <w:r>
        <w:rPr>
          <w:lang w:val="ru-RU" w:eastAsia="ru-RU" w:bidi="ru-RU"/>
          <w:sz w:val="24"/>
          <w:szCs w:val="24"/>
          <w:w w:val="100"/>
          <w:spacing w:val="0"/>
          <w:color w:val="000000"/>
          <w:position w:val="0"/>
        </w:rPr>
        <w:t xml:space="preserve"> Передать материалы дела должностному лицу Амурского УФАС России для рассмотрения вопроса о возбуждения административного производства.</w:t>
      </w:r>
    </w:p>
    <w:p>
      <w:pPr>
        <w:pStyle w:val="Style5"/>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Решение Комиссии антимонопольного органа может быть обжаловано в судебном порядке в течение трех месяцев со дня его принятия.</w:t>
      </w:r>
    </w:p>
    <w:p>
      <w:pPr>
        <w:pStyle w:val="Style5"/>
        <w:framePr w:h="237" w:wrap="around" w:vAnchor="text" w:hAnchor="margin" w:x="8224" w:y="4"/>
        <w:widowControl w:val="0"/>
        <w:keepNext w:val="0"/>
        <w:keepLines w:val="0"/>
        <w:shd w:val="clear" w:color="auto" w:fill="auto"/>
        <w:bidi w:val="0"/>
        <w:jc w:val="left"/>
        <w:spacing w:before="0" w:after="0" w:line="230" w:lineRule="exact"/>
        <w:ind w:left="100" w:right="0" w:firstLine="0"/>
      </w:pPr>
      <w:r>
        <w:rPr>
          <w:rStyle w:val="CharStyle19"/>
          <w:spacing w:val="0"/>
        </w:rPr>
        <w:t>Н.В. Горячева</w:t>
      </w:r>
    </w:p>
    <w:p>
      <w:pPr>
        <w:pStyle w:val="Style5"/>
        <w:widowControl w:val="0"/>
        <w:keepNext w:val="0"/>
        <w:keepLines w:val="0"/>
        <w:shd w:val="clear" w:color="auto" w:fill="auto"/>
        <w:bidi w:val="0"/>
        <w:jc w:val="both"/>
        <w:spacing w:before="0" w:after="0" w:line="240" w:lineRule="exact"/>
        <w:ind w:left="20" w:right="0" w:firstLine="0"/>
      </w:pPr>
      <w:r>
        <w:rPr>
          <w:lang w:val="ru-RU" w:eastAsia="ru-RU" w:bidi="ru-RU"/>
          <w:sz w:val="24"/>
          <w:szCs w:val="24"/>
          <w:w w:val="100"/>
          <w:spacing w:val="0"/>
          <w:color w:val="000000"/>
          <w:position w:val="0"/>
        </w:rPr>
        <w:t>Председатель Комиссии:</w:t>
      </w:r>
    </w:p>
    <w:p>
      <w:pPr>
        <w:pStyle w:val="Style5"/>
        <w:framePr w:h="237" w:wrap="around" w:vAnchor="text" w:hAnchor="margin" w:x="8143" w:y="4"/>
        <w:widowControl w:val="0"/>
        <w:keepNext w:val="0"/>
        <w:keepLines w:val="0"/>
        <w:shd w:val="clear" w:color="auto" w:fill="auto"/>
        <w:bidi w:val="0"/>
        <w:jc w:val="left"/>
        <w:spacing w:before="0" w:after="0" w:line="230" w:lineRule="exact"/>
        <w:ind w:left="100" w:right="0" w:firstLine="0"/>
      </w:pPr>
      <w:r>
        <w:rPr>
          <w:rStyle w:val="CharStyle19"/>
          <w:spacing w:val="0"/>
        </w:rPr>
        <w:t>Е.В. Стрелкова</w:t>
      </w:r>
    </w:p>
    <w:p>
      <w:pPr>
        <w:pStyle w:val="Style5"/>
        <w:widowControl w:val="0"/>
        <w:keepNext w:val="0"/>
        <w:keepLines w:val="0"/>
        <w:shd w:val="clear" w:color="auto" w:fill="auto"/>
        <w:bidi w:val="0"/>
        <w:jc w:val="both"/>
        <w:spacing w:before="0" w:after="302" w:line="240" w:lineRule="exact"/>
        <w:ind w:left="20" w:right="0" w:firstLine="0"/>
      </w:pPr>
      <w:r>
        <w:rPr>
          <w:lang w:val="ru-RU" w:eastAsia="ru-RU" w:bidi="ru-RU"/>
          <w:sz w:val="24"/>
          <w:szCs w:val="24"/>
          <w:w w:val="100"/>
          <w:spacing w:val="0"/>
          <w:color w:val="000000"/>
          <w:position w:val="0"/>
        </w:rPr>
        <w:t>Члены Комиссии:</w:t>
      </w:r>
    </w:p>
    <w:p>
      <w:pPr>
        <w:pStyle w:val="Style5"/>
        <w:widowControl w:val="0"/>
        <w:keepNext w:val="0"/>
        <w:keepLines w:val="0"/>
        <w:shd w:val="clear" w:color="auto" w:fill="auto"/>
        <w:bidi w:val="0"/>
        <w:jc w:val="right"/>
        <w:spacing w:before="0" w:after="0" w:line="240" w:lineRule="exact"/>
        <w:ind w:left="0" w:right="20" w:firstLine="0"/>
      </w:pPr>
      <w:r>
        <w:rPr>
          <w:lang w:val="ru-RU" w:eastAsia="ru-RU" w:bidi="ru-RU"/>
          <w:sz w:val="24"/>
          <w:szCs w:val="24"/>
          <w:w w:val="100"/>
          <w:spacing w:val="0"/>
          <w:color w:val="000000"/>
          <w:position w:val="0"/>
        </w:rPr>
        <w:t>И.И. Левченко</w:t>
      </w:r>
    </w:p>
    <w:sectPr>
      <w:type w:val="continuous"/>
      <w:pgSz w:w="11906" w:h="16838"/>
      <w:pgMar w:top="1027" w:left="820" w:right="820" w:bottom="662" w:header="0" w:footer="3" w:gutter="302"/>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0"/>
      <w:numFmt w:val="decimal"/>
      <w:lvlText w:val="24.07.%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2020"/>
      <w:numFmt w:val="decimal"/>
      <w:lvlText w:val="28.07.%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rFonts w:ascii="Times New Roman" w:eastAsia="Times New Roman" w:hAnsi="Times New Roman" w:cs="Times New Roman"/>
    </w:rPr>
  </w:style>
  <w:style w:type="character" w:customStyle="1" w:styleId="CharStyle8">
    <w:name w:val="Основной текст (3)_"/>
    <w:basedOn w:val="DefaultParagraphFont"/>
    <w:link w:val="Style7"/>
    <w:rPr>
      <w:b/>
      <w:bCs/>
      <w:i w:val="0"/>
      <w:iCs w:val="0"/>
      <w:u w:val="none"/>
      <w:strike w:val="0"/>
      <w:smallCaps w:val="0"/>
      <w:sz w:val="21"/>
      <w:szCs w:val="21"/>
      <w:rFonts w:ascii="Times New Roman" w:eastAsia="Times New Roman" w:hAnsi="Times New Roman" w:cs="Times New Roman"/>
    </w:rPr>
  </w:style>
  <w:style w:type="character" w:customStyle="1" w:styleId="CharStyle10">
    <w:name w:val="Основной текст (4)_"/>
    <w:basedOn w:val="DefaultParagraphFont"/>
    <w:link w:val="Style9"/>
    <w:rPr>
      <w:b w:val="0"/>
      <w:bCs w:val="0"/>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5)_"/>
    <w:basedOn w:val="DefaultParagraphFont"/>
    <w:link w:val="Style11"/>
    <w:rPr>
      <w:b/>
      <w:bCs/>
      <w:i w:val="0"/>
      <w:iCs w:val="0"/>
      <w:u w:val="none"/>
      <w:strike w:val="0"/>
      <w:smallCaps w:val="0"/>
      <w:sz w:val="17"/>
      <w:szCs w:val="17"/>
      <w:rFonts w:ascii="Times New Roman" w:eastAsia="Times New Roman" w:hAnsi="Times New Roman" w:cs="Times New Roman"/>
    </w:rPr>
  </w:style>
  <w:style w:type="character" w:customStyle="1" w:styleId="CharStyle13">
    <w:name w:val="Основной текст (5) + Не полужирный"/>
    <w:basedOn w:val="CharStyle12"/>
    <w:rPr>
      <w:lang w:val="ru-RU" w:eastAsia="ru-RU" w:bidi="ru-RU"/>
      <w:b/>
      <w:bCs/>
      <w:w w:val="100"/>
      <w:spacing w:val="0"/>
      <w:color w:val="000000"/>
      <w:position w:val="0"/>
    </w:rPr>
  </w:style>
  <w:style w:type="character" w:customStyle="1" w:styleId="CharStyle15">
    <w:name w:val="Основной текст (6)_"/>
    <w:basedOn w:val="DefaultParagraphFont"/>
    <w:link w:val="Style14"/>
    <w:rPr>
      <w:lang w:val="en-US" w:eastAsia="en-US" w:bidi="en-US"/>
      <w:b w:val="0"/>
      <w:bCs w:val="0"/>
      <w:i w:val="0"/>
      <w:iCs w:val="0"/>
      <w:u w:val="none"/>
      <w:strike w:val="0"/>
      <w:smallCaps w:val="0"/>
      <w:sz w:val="17"/>
      <w:szCs w:val="17"/>
      <w:rFonts w:ascii="Times New Roman" w:eastAsia="Times New Roman" w:hAnsi="Times New Roman" w:cs="Times New Roman"/>
    </w:rPr>
  </w:style>
  <w:style w:type="character" w:customStyle="1" w:styleId="CharStyle16">
    <w:name w:val="Основной текст (3) Exact"/>
    <w:basedOn w:val="DefaultParagraphFont"/>
    <w:rPr>
      <w:b/>
      <w:bCs/>
      <w:i w:val="0"/>
      <w:iCs w:val="0"/>
      <w:u w:val="none"/>
      <w:strike w:val="0"/>
      <w:smallCaps w:val="0"/>
      <w:sz w:val="20"/>
      <w:szCs w:val="20"/>
      <w:rFonts w:ascii="Times New Roman" w:eastAsia="Times New Roman" w:hAnsi="Times New Roman" w:cs="Times New Roman"/>
      <w:spacing w:val="8"/>
    </w:rPr>
  </w:style>
  <w:style w:type="character" w:customStyle="1" w:styleId="CharStyle18">
    <w:name w:val="Основной текст (7) Exact"/>
    <w:basedOn w:val="DefaultParagraphFont"/>
    <w:link w:val="Style17"/>
    <w:rPr>
      <w:b w:val="0"/>
      <w:bCs w:val="0"/>
      <w:i w:val="0"/>
      <w:iCs w:val="0"/>
      <w:u w:val="none"/>
      <w:strike w:val="0"/>
      <w:smallCaps w:val="0"/>
      <w:sz w:val="21"/>
      <w:szCs w:val="21"/>
      <w:rFonts w:ascii="Times New Roman" w:eastAsia="Times New Roman" w:hAnsi="Times New Roman" w:cs="Times New Roman"/>
      <w:spacing w:val="-9"/>
    </w:rPr>
  </w:style>
  <w:style w:type="character" w:customStyle="1" w:styleId="CharStyle19">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1"/>
    </w:rPr>
  </w:style>
  <w:style w:type="character" w:customStyle="1" w:styleId="CharStyle20">
    <w:name w:val="Основной текст"/>
    <w:basedOn w:val="CharStyle6"/>
    <w:rPr>
      <w:lang w:val="ru-RU" w:eastAsia="ru-RU" w:bidi="ru-RU"/>
      <w:u w:val="single"/>
      <w:sz w:val="24"/>
      <w:szCs w:val="24"/>
      <w:w w:val="100"/>
      <w:spacing w:val="0"/>
      <w:color w:val="000000"/>
      <w:position w:val="0"/>
    </w:rPr>
  </w:style>
  <w:style w:type="paragraph" w:customStyle="1" w:styleId="Style3">
    <w:name w:val="Основной текст (2)"/>
    <w:basedOn w:val="Normal"/>
    <w:link w:val="CharStyle4"/>
    <w:pPr>
      <w:widowControl w:val="0"/>
      <w:shd w:val="clear" w:color="auto" w:fill="FFFFFF"/>
      <w:spacing w:line="293" w:lineRule="exact"/>
    </w:pPr>
    <w:rPr>
      <w:b/>
      <w:bCs/>
      <w:i w:val="0"/>
      <w:iCs w:val="0"/>
      <w:u w:val="none"/>
      <w:strike w:val="0"/>
      <w:smallCaps w:val="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line="293" w:lineRule="exact"/>
    </w:pPr>
    <w:rPr>
      <w:b w:val="0"/>
      <w:bCs w:val="0"/>
      <w:i w:val="0"/>
      <w:iCs w:val="0"/>
      <w:u w:val="none"/>
      <w:strike w:val="0"/>
      <w:smallCaps w:val="0"/>
      <w:rFonts w:ascii="Times New Roman" w:eastAsia="Times New Roman" w:hAnsi="Times New Roman" w:cs="Times New Roman"/>
    </w:rPr>
  </w:style>
  <w:style w:type="paragraph" w:customStyle="1" w:styleId="Style7">
    <w:name w:val="Основной текст (3)"/>
    <w:basedOn w:val="Normal"/>
    <w:link w:val="CharStyle8"/>
    <w:pPr>
      <w:widowControl w:val="0"/>
      <w:shd w:val="clear" w:color="auto" w:fill="FFFFFF"/>
      <w:jc w:val="center"/>
      <w:spacing w:after="60" w:line="298" w:lineRule="exact"/>
    </w:pPr>
    <w:rPr>
      <w:b/>
      <w:bCs/>
      <w:i w:val="0"/>
      <w:iCs w:val="0"/>
      <w:u w:val="none"/>
      <w:strike w:val="0"/>
      <w:smallCaps w:val="0"/>
      <w:sz w:val="21"/>
      <w:szCs w:val="21"/>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before="60" w:after="6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1">
    <w:name w:val="Основной текст (5)"/>
    <w:basedOn w:val="Normal"/>
    <w:link w:val="CharStyle12"/>
    <w:pPr>
      <w:widowControl w:val="0"/>
      <w:shd w:val="clear" w:color="auto" w:fill="FFFFFF"/>
      <w:jc w:val="center"/>
      <w:spacing w:line="221" w:lineRule="exact"/>
    </w:pPr>
    <w:rPr>
      <w:b/>
      <w:bCs/>
      <w:i w:val="0"/>
      <w:iCs w:val="0"/>
      <w:u w:val="none"/>
      <w:strike w:val="0"/>
      <w:smallCaps w:val="0"/>
      <w:sz w:val="17"/>
      <w:szCs w:val="17"/>
      <w:rFonts w:ascii="Times New Roman" w:eastAsia="Times New Roman" w:hAnsi="Times New Roman" w:cs="Times New Roman"/>
    </w:rPr>
  </w:style>
  <w:style w:type="paragraph" w:customStyle="1" w:styleId="Style14">
    <w:name w:val="Основной текст (6)"/>
    <w:basedOn w:val="Normal"/>
    <w:link w:val="CharStyle15"/>
    <w:pPr>
      <w:widowControl w:val="0"/>
      <w:shd w:val="clear" w:color="auto" w:fill="FFFFFF"/>
      <w:jc w:val="center"/>
      <w:spacing w:line="221" w:lineRule="exact"/>
    </w:pPr>
    <w:rPr>
      <w:lang w:val="en-US" w:eastAsia="en-US" w:bidi="en-US"/>
      <w:b w:val="0"/>
      <w:bCs w:val="0"/>
      <w:i w:val="0"/>
      <w:iCs w:val="0"/>
      <w:u w:val="none"/>
      <w:strike w:val="0"/>
      <w:smallCaps w:val="0"/>
      <w:sz w:val="17"/>
      <w:szCs w:val="17"/>
      <w:rFonts w:ascii="Times New Roman" w:eastAsia="Times New Roman" w:hAnsi="Times New Roman" w:cs="Times New Roman"/>
    </w:rPr>
  </w:style>
  <w:style w:type="paragraph" w:customStyle="1" w:styleId="Style17">
    <w:name w:val="Основной текст (7)"/>
    <w:basedOn w:val="Normal"/>
    <w:link w:val="CharStyle18"/>
    <w:pPr>
      <w:widowControl w:val="0"/>
      <w:shd w:val="clear" w:color="auto" w:fill="FFFFFF"/>
      <w:spacing w:line="0" w:lineRule="exact"/>
    </w:pPr>
    <w:rPr>
      <w:b w:val="0"/>
      <w:bCs w:val="0"/>
      <w:i w:val="0"/>
      <w:iCs w:val="0"/>
      <w:u w:val="none"/>
      <w:strike w:val="0"/>
      <w:smallCaps w:val="0"/>
      <w:sz w:val="21"/>
      <w:szCs w:val="21"/>
      <w:rFonts w:ascii="Times New Roman" w:eastAsia="Times New Roman" w:hAnsi="Times New Roman" w:cs="Times New Roman"/>
      <w:spacing w:val="-9"/>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