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7"/>
        <w:widowControl w:val="0"/>
        <w:keepNext w:val="0"/>
        <w:keepLines w:val="0"/>
        <w:shd w:val="clear" w:color="auto" w:fill="auto"/>
        <w:bidi w:val="0"/>
        <w:spacing w:before="62" w:after="206"/>
        <w:ind w:left="0" w:right="520" w:firstLine="0"/>
      </w:pPr>
      <w:r>
        <w:rPr>
          <w:lang w:val="ru-RU" w:eastAsia="ru-RU" w:bidi="ru-RU"/>
          <w:w w:val="100"/>
          <w:spacing w:val="0"/>
          <w:color w:val="000000"/>
          <w:position w:val="0"/>
        </w:rPr>
        <w:t>ФЕДЕРАЛЬНАЯ АНТИМОНОПОЛЬНАЯ СЛУЖБА</w:t>
      </w:r>
    </w:p>
    <w:p>
      <w:pPr>
        <w:pStyle w:val="Style9"/>
        <w:widowControl w:val="0"/>
        <w:keepNext/>
        <w:keepLines/>
        <w:shd w:val="clear" w:color="auto" w:fill="auto"/>
        <w:bidi w:val="0"/>
        <w:spacing w:before="0" w:after="217"/>
        <w:ind w:left="0" w:right="520" w:firstLine="0"/>
      </w:pPr>
      <w:bookmarkStart w:id="0" w:name="bookmark0"/>
      <w:r>
        <w:rPr>
          <w:rStyle w:val="CharStyle11"/>
          <w:b/>
          <w:bCs/>
        </w:rPr>
        <w:t xml:space="preserve">УПРАВЛЕНИЕ </w:t>
      </w:r>
      <w:r>
        <w:rPr>
          <w:lang w:val="ru-RU" w:eastAsia="ru-RU" w:bidi="ru-RU"/>
          <w:sz w:val="24"/>
          <w:szCs w:val="24"/>
          <w:w w:val="100"/>
          <w:spacing w:val="0"/>
          <w:color w:val="000000"/>
          <w:position w:val="0"/>
        </w:rPr>
        <w:t>Федеральной антимонопольной службы по Вологодской области</w:t>
      </w:r>
      <w:bookmarkEnd w:id="0"/>
    </w:p>
    <w:p>
      <w:pPr>
        <w:pStyle w:val="Style12"/>
        <w:widowControl w:val="0"/>
        <w:keepNext w:val="0"/>
        <w:keepLines w:val="0"/>
        <w:shd w:val="clear" w:color="auto" w:fill="auto"/>
        <w:bidi w:val="0"/>
        <w:spacing w:before="0" w:after="0"/>
        <w:ind w:left="20" w:right="0" w:firstLine="0"/>
      </w:pPr>
      <w:r>
        <w:rPr>
          <w:lang w:val="ru-RU" w:eastAsia="ru-RU" w:bidi="ru-RU"/>
          <w:sz w:val="24"/>
          <w:szCs w:val="24"/>
          <w:w w:val="100"/>
          <w:spacing w:val="0"/>
          <w:color w:val="000000"/>
          <w:position w:val="0"/>
        </w:rPr>
        <w:t>160000, г. Вологда, ул. Пушкинская, 25, тел. (8172)72-99-70; факс (8172)72-46-64</w:t>
      </w:r>
    </w:p>
    <w:p>
      <w:pPr>
        <w:pStyle w:val="Style12"/>
        <w:widowControl w:val="0"/>
        <w:keepNext w:val="0"/>
        <w:keepLines w:val="0"/>
        <w:shd w:val="clear" w:color="auto" w:fill="auto"/>
        <w:bidi w:val="0"/>
        <w:spacing w:before="0" w:after="0"/>
        <w:ind w:left="20" w:right="0" w:firstLine="0"/>
      </w:pPr>
      <w:r>
        <w:rPr>
          <w:lang w:val="en-US" w:eastAsia="en-US" w:bidi="en-US"/>
          <w:sz w:val="24"/>
          <w:szCs w:val="24"/>
          <w:w w:val="100"/>
          <w:spacing w:val="0"/>
          <w:color w:val="000000"/>
          <w:position w:val="0"/>
        </w:rPr>
        <w:t xml:space="preserve">e-mail: </w:t>
      </w:r>
      <w:r>
        <w:fldChar w:fldCharType="begin"/>
      </w:r>
      <w:r>
        <w:rPr>
          <w:rStyle w:val="CharStyle14"/>
        </w:rPr>
        <w:instrText> HYPERLINK "mailto:to35@fas.gov.ru" </w:instrText>
      </w:r>
      <w:r>
        <w:fldChar w:fldCharType="separate"/>
      </w:r>
      <w:r>
        <w:rPr>
          <w:rStyle w:val="Hyperlink"/>
        </w:rPr>
        <w:t>to35@fas.gov.ru</w:t>
      </w:r>
      <w:r>
        <w:fldChar w:fldCharType="end"/>
      </w:r>
    </w:p>
    <w:p>
      <w:pPr>
        <w:pStyle w:val="Style12"/>
        <w:widowControl w:val="0"/>
        <w:keepNext w:val="0"/>
        <w:keepLines w:val="0"/>
        <w:shd w:val="clear" w:color="auto" w:fill="auto"/>
        <w:bidi w:val="0"/>
        <w:spacing w:before="0" w:after="143"/>
        <w:ind w:left="20" w:right="0" w:firstLine="0"/>
      </w:pPr>
      <w:r>
        <w:fldChar w:fldCharType="begin"/>
      </w:r>
      <w:r>
        <w:rPr>
          <w:color w:val="000000"/>
        </w:rPr>
        <w:instrText> HYPERLINK "http://vologda.fas.gov.ru" </w:instrText>
      </w:r>
      <w:r>
        <w:fldChar w:fldCharType="separate"/>
      </w:r>
      <w:r>
        <w:rPr>
          <w:rStyle w:val="Hyperlink"/>
          <w:lang w:val="en-US" w:eastAsia="en-US" w:bidi="en-US"/>
          <w:sz w:val="24"/>
          <w:szCs w:val="24"/>
          <w:w w:val="100"/>
          <w:spacing w:val="0"/>
          <w:position w:val="0"/>
        </w:rPr>
        <w:t>http://vologda.fas.gov.ru</w:t>
      </w:r>
      <w:r>
        <w:fldChar w:fldCharType="end"/>
      </w:r>
    </w:p>
    <w:p>
      <w:pPr>
        <w:pStyle w:val="Style12"/>
        <w:numPr>
          <w:ilvl w:val="0"/>
          <w:numId w:val="1"/>
        </w:numPr>
        <w:tabs>
          <w:tab w:leader="none" w:pos="5038" w:val="center"/>
          <w:tab w:leader="none" w:pos="1358" w:val="left"/>
        </w:tabs>
        <w:widowControl w:val="0"/>
        <w:keepNext w:val="0"/>
        <w:keepLines w:val="0"/>
        <w:shd w:val="clear" w:color="auto" w:fill="auto"/>
        <w:bidi w:val="0"/>
        <w:spacing w:before="0" w:after="0" w:line="295" w:lineRule="exact"/>
        <w:ind w:left="20" w:right="0" w:firstLine="0"/>
      </w:pPr>
      <w:r>
        <w:rPr>
          <w:lang w:val="ru-RU" w:eastAsia="ru-RU" w:bidi="ru-RU"/>
          <w:sz w:val="24"/>
          <w:szCs w:val="24"/>
          <w:w w:val="100"/>
          <w:spacing w:val="0"/>
          <w:color w:val="000000"/>
          <w:position w:val="0"/>
        </w:rPr>
        <w:t xml:space="preserve">№ </w:t>
      </w:r>
      <w:r>
        <w:rPr>
          <w:rStyle w:val="CharStyle15"/>
        </w:rPr>
        <w:t>ЗЦОб*</w:t>
      </w:r>
      <w:r>
        <w:rPr>
          <w:rStyle w:val="CharStyle16"/>
          <w:lang w:val="ru-RU" w:eastAsia="ru-RU" w:bidi="ru-RU"/>
        </w:rPr>
        <w:tab/>
      </w:r>
      <w:r>
        <w:rPr>
          <w:rStyle w:val="CharStyle17"/>
        </w:rPr>
        <w:t>Заявитель:</w:t>
      </w:r>
    </w:p>
    <w:p>
      <w:pPr>
        <w:pStyle w:val="Style12"/>
        <w:widowControl w:val="0"/>
        <w:keepNext w:val="0"/>
        <w:keepLines w:val="0"/>
        <w:shd w:val="clear" w:color="auto" w:fill="auto"/>
        <w:bidi w:val="0"/>
        <w:jc w:val="left"/>
        <w:spacing w:before="0" w:after="0" w:line="295" w:lineRule="exact"/>
        <w:ind w:left="4400" w:right="0" w:firstLine="0"/>
      </w:pPr>
      <w:r>
        <w:rPr>
          <w:lang w:val="ru-RU" w:eastAsia="ru-RU" w:bidi="ru-RU"/>
          <w:sz w:val="24"/>
          <w:szCs w:val="24"/>
          <w:w w:val="100"/>
          <w:spacing w:val="0"/>
          <w:color w:val="000000"/>
          <w:position w:val="0"/>
        </w:rPr>
        <w:t>ООО «ТД «АЛВИЛС»</w:t>
      </w:r>
    </w:p>
    <w:p>
      <w:pPr>
        <w:pStyle w:val="Style12"/>
        <w:widowControl w:val="0"/>
        <w:keepNext w:val="0"/>
        <w:keepLines w:val="0"/>
        <w:shd w:val="clear" w:color="auto" w:fill="auto"/>
        <w:bidi w:val="0"/>
        <w:jc w:val="left"/>
        <w:spacing w:before="0" w:after="284" w:line="295" w:lineRule="exact"/>
        <w:ind w:left="4400" w:right="640" w:firstLine="0"/>
      </w:pPr>
      <w:r>
        <w:rPr>
          <w:lang w:val="ru-RU" w:eastAsia="ru-RU" w:bidi="ru-RU"/>
          <w:sz w:val="24"/>
          <w:szCs w:val="24"/>
          <w:w w:val="100"/>
          <w:spacing w:val="0"/>
          <w:color w:val="000000"/>
          <w:position w:val="0"/>
        </w:rPr>
        <w:t xml:space="preserve">123154, г. Москва, пр-т Маршала Жукова, д. 51, пом. XIX, ком. 30 </w:t>
      </w:r>
      <w:r>
        <w:fldChar w:fldCharType="begin"/>
      </w:r>
      <w:r>
        <w:rPr>
          <w:color w:val="000000"/>
        </w:rPr>
        <w:instrText> HYPERLINK "mailto:td_alvils@mail.ru" </w:instrText>
      </w:r>
      <w:r>
        <w:fldChar w:fldCharType="separate"/>
      </w:r>
      <w:r>
        <w:rPr>
          <w:rStyle w:val="Hyperlink"/>
          <w:lang w:val="en-US" w:eastAsia="en-US" w:bidi="en-US"/>
          <w:sz w:val="24"/>
          <w:szCs w:val="24"/>
          <w:w w:val="100"/>
          <w:spacing w:val="0"/>
          <w:position w:val="0"/>
        </w:rPr>
        <w:t>td_alvils@mail.ru</w:t>
      </w:r>
      <w:r>
        <w:fldChar w:fldCharType="end"/>
      </w:r>
    </w:p>
    <w:p>
      <w:pPr>
        <w:pStyle w:val="Style9"/>
        <w:widowControl w:val="0"/>
        <w:keepNext/>
        <w:keepLines/>
        <w:shd w:val="clear" w:color="auto" w:fill="auto"/>
        <w:bidi w:val="0"/>
        <w:jc w:val="left"/>
        <w:spacing w:before="0" w:after="0" w:line="240" w:lineRule="exact"/>
        <w:ind w:left="4400" w:right="0" w:firstLine="0"/>
      </w:pPr>
      <w:bookmarkStart w:id="1" w:name="bookmark1"/>
      <w:r>
        <w:rPr>
          <w:lang w:val="ru-RU" w:eastAsia="ru-RU" w:bidi="ru-RU"/>
          <w:sz w:val="24"/>
          <w:szCs w:val="24"/>
          <w:w w:val="100"/>
          <w:spacing w:val="0"/>
          <w:color w:val="000000"/>
          <w:position w:val="0"/>
        </w:rPr>
        <w:t>Заказчик:</w:t>
      </w:r>
      <w:bookmarkEnd w:id="1"/>
    </w:p>
    <w:p>
      <w:pPr>
        <w:pStyle w:val="Style12"/>
        <w:widowControl w:val="0"/>
        <w:keepNext w:val="0"/>
        <w:keepLines w:val="0"/>
        <w:shd w:val="clear" w:color="auto" w:fill="auto"/>
        <w:bidi w:val="0"/>
        <w:jc w:val="left"/>
        <w:spacing w:before="0" w:after="0" w:line="302" w:lineRule="exact"/>
        <w:ind w:left="4400" w:right="0" w:firstLine="0"/>
      </w:pPr>
      <w:r>
        <w:rPr>
          <w:lang w:val="ru-RU" w:eastAsia="ru-RU" w:bidi="ru-RU"/>
          <w:sz w:val="24"/>
          <w:szCs w:val="24"/>
          <w:w w:val="100"/>
          <w:spacing w:val="0"/>
          <w:color w:val="000000"/>
          <w:position w:val="0"/>
        </w:rPr>
        <w:t>БУЗ ВО «ВОДКБ»</w:t>
      </w:r>
    </w:p>
    <w:p>
      <w:pPr>
        <w:pStyle w:val="Style12"/>
        <w:widowControl w:val="0"/>
        <w:keepNext w:val="0"/>
        <w:keepLines w:val="0"/>
        <w:shd w:val="clear" w:color="auto" w:fill="auto"/>
        <w:bidi w:val="0"/>
        <w:jc w:val="left"/>
        <w:spacing w:before="0" w:after="252" w:line="302" w:lineRule="exact"/>
        <w:ind w:left="4400" w:right="640" w:firstLine="0"/>
      </w:pPr>
      <w:r>
        <w:rPr>
          <w:lang w:val="ru-RU" w:eastAsia="ru-RU" w:bidi="ru-RU"/>
          <w:sz w:val="24"/>
          <w:szCs w:val="24"/>
          <w:w w:val="100"/>
          <w:spacing w:val="0"/>
          <w:color w:val="000000"/>
          <w:position w:val="0"/>
        </w:rPr>
        <w:t xml:space="preserve">160022, г. Вологда, Пошехонское ш., д. 31 </w:t>
      </w:r>
      <w:r>
        <w:rPr>
          <w:rStyle w:val="CharStyle14"/>
        </w:rPr>
        <w:t xml:space="preserve">Vodb201 </w:t>
      </w:r>
      <w:r>
        <w:fldChar w:fldCharType="begin"/>
      </w:r>
      <w:r>
        <w:rPr>
          <w:rStyle w:val="CharStyle14"/>
        </w:rPr>
        <w:instrText> HYPERLINK "mailto:l@mail.ru" </w:instrText>
      </w:r>
      <w:r>
        <w:fldChar w:fldCharType="separate"/>
      </w:r>
      <w:r>
        <w:rPr>
          <w:rStyle w:val="Hyperlink"/>
        </w:rPr>
        <w:t>l@mail.ru</w:t>
      </w:r>
      <w:r>
        <w:fldChar w:fldCharType="end"/>
      </w:r>
    </w:p>
    <w:p>
      <w:pPr>
        <w:pStyle w:val="Style9"/>
        <w:widowControl w:val="0"/>
        <w:keepNext/>
        <w:keepLines/>
        <w:shd w:val="clear" w:color="auto" w:fill="auto"/>
        <w:bidi w:val="0"/>
        <w:jc w:val="left"/>
        <w:spacing w:before="0" w:after="0" w:line="288" w:lineRule="exact"/>
        <w:ind w:left="4400" w:right="0" w:firstLine="0"/>
      </w:pPr>
      <w:bookmarkStart w:id="2" w:name="bookmark2"/>
      <w:r>
        <w:rPr>
          <w:lang w:val="ru-RU" w:eastAsia="ru-RU" w:bidi="ru-RU"/>
          <w:sz w:val="24"/>
          <w:szCs w:val="24"/>
          <w:w w:val="100"/>
          <w:spacing w:val="0"/>
          <w:color w:val="000000"/>
          <w:position w:val="0"/>
        </w:rPr>
        <w:t>Уполномоченный орган:</w:t>
      </w:r>
      <w:bookmarkEnd w:id="2"/>
    </w:p>
    <w:p>
      <w:pPr>
        <w:pStyle w:val="Style12"/>
        <w:widowControl w:val="0"/>
        <w:keepNext w:val="0"/>
        <w:keepLines w:val="0"/>
        <w:shd w:val="clear" w:color="auto" w:fill="auto"/>
        <w:bidi w:val="0"/>
        <w:jc w:val="left"/>
        <w:spacing w:before="0" w:after="0" w:line="288" w:lineRule="exact"/>
        <w:ind w:left="4400" w:right="0" w:firstLine="0"/>
      </w:pPr>
      <w:r>
        <w:rPr>
          <w:lang w:val="ru-RU" w:eastAsia="ru-RU" w:bidi="ru-RU"/>
          <w:sz w:val="24"/>
          <w:szCs w:val="24"/>
          <w:w w:val="100"/>
          <w:spacing w:val="0"/>
          <w:color w:val="000000"/>
          <w:position w:val="0"/>
        </w:rPr>
        <w:t>Комитет государственного заказа</w:t>
      </w:r>
    </w:p>
    <w:p>
      <w:pPr>
        <w:pStyle w:val="Style12"/>
        <w:widowControl w:val="0"/>
        <w:keepNext w:val="0"/>
        <w:keepLines w:val="0"/>
        <w:shd w:val="clear" w:color="auto" w:fill="auto"/>
        <w:bidi w:val="0"/>
        <w:jc w:val="left"/>
        <w:spacing w:before="0" w:after="0" w:line="288" w:lineRule="exact"/>
        <w:ind w:left="4400" w:right="0" w:firstLine="0"/>
      </w:pPr>
      <w:r>
        <w:rPr>
          <w:lang w:val="ru-RU" w:eastAsia="ru-RU" w:bidi="ru-RU"/>
          <w:sz w:val="24"/>
          <w:szCs w:val="24"/>
          <w:w w:val="100"/>
          <w:spacing w:val="0"/>
          <w:color w:val="000000"/>
          <w:position w:val="0"/>
        </w:rPr>
        <w:t>Вологодской области</w:t>
      </w:r>
    </w:p>
    <w:p>
      <w:pPr>
        <w:pStyle w:val="Style12"/>
        <w:widowControl w:val="0"/>
        <w:keepNext w:val="0"/>
        <w:keepLines w:val="0"/>
        <w:shd w:val="clear" w:color="auto" w:fill="auto"/>
        <w:bidi w:val="0"/>
        <w:jc w:val="left"/>
        <w:spacing w:before="0" w:after="53" w:line="240" w:lineRule="exact"/>
        <w:ind w:left="4400" w:right="0" w:firstLine="0"/>
      </w:pPr>
      <w:r>
        <w:rPr>
          <w:lang w:val="ru-RU" w:eastAsia="ru-RU" w:bidi="ru-RU"/>
          <w:sz w:val="24"/>
          <w:szCs w:val="24"/>
          <w:w w:val="100"/>
          <w:spacing w:val="0"/>
          <w:color w:val="000000"/>
          <w:position w:val="0"/>
        </w:rPr>
        <w:t>160000, г. Вологда, ул. Козленская, д. 8</w:t>
      </w:r>
    </w:p>
    <w:p>
      <w:pPr>
        <w:pStyle w:val="Style12"/>
        <w:widowControl w:val="0"/>
        <w:keepNext w:val="0"/>
        <w:keepLines w:val="0"/>
        <w:shd w:val="clear" w:color="auto" w:fill="auto"/>
        <w:bidi w:val="0"/>
        <w:jc w:val="left"/>
        <w:spacing w:before="0" w:after="262" w:line="240" w:lineRule="exact"/>
        <w:ind w:left="4400" w:right="0" w:firstLine="0"/>
      </w:pPr>
      <w:r>
        <w:fldChar w:fldCharType="begin"/>
      </w:r>
      <w:r>
        <w:rPr>
          <w:color w:val="000000"/>
        </w:rPr>
        <w:instrText> HYPERLINK "mailto:kgz@gz.gov35.ru" </w:instrText>
      </w:r>
      <w:r>
        <w:fldChar w:fldCharType="separate"/>
      </w:r>
      <w:r>
        <w:rPr>
          <w:rStyle w:val="Hyperlink"/>
          <w:lang w:val="en-US" w:eastAsia="en-US" w:bidi="en-US"/>
          <w:sz w:val="24"/>
          <w:szCs w:val="24"/>
          <w:w w:val="100"/>
          <w:spacing w:val="0"/>
          <w:position w:val="0"/>
        </w:rPr>
        <w:t>kgz@gz.gov35.ru</w:t>
      </w:r>
      <w:r>
        <w:fldChar w:fldCharType="end"/>
      </w:r>
    </w:p>
    <w:p>
      <w:pPr>
        <w:pStyle w:val="Style9"/>
        <w:widowControl w:val="0"/>
        <w:keepNext/>
        <w:keepLines/>
        <w:shd w:val="clear" w:color="auto" w:fill="auto"/>
        <w:bidi w:val="0"/>
        <w:jc w:val="left"/>
        <w:spacing w:before="0" w:after="0" w:line="288" w:lineRule="exact"/>
        <w:ind w:left="4400" w:right="0" w:firstLine="0"/>
      </w:pPr>
      <w:bookmarkStart w:id="3" w:name="bookmark3"/>
      <w:r>
        <w:rPr>
          <w:lang w:val="ru-RU" w:eastAsia="ru-RU" w:bidi="ru-RU"/>
          <w:sz w:val="24"/>
          <w:szCs w:val="24"/>
          <w:w w:val="100"/>
          <w:spacing w:val="0"/>
          <w:color w:val="000000"/>
          <w:position w:val="0"/>
        </w:rPr>
        <w:t>Оператор электронной площадки:</w:t>
      </w:r>
      <w:bookmarkEnd w:id="3"/>
    </w:p>
    <w:p>
      <w:pPr>
        <w:pStyle w:val="Style12"/>
        <w:widowControl w:val="0"/>
        <w:keepNext w:val="0"/>
        <w:keepLines w:val="0"/>
        <w:shd w:val="clear" w:color="auto" w:fill="auto"/>
        <w:bidi w:val="0"/>
        <w:jc w:val="left"/>
        <w:spacing w:before="0" w:after="518" w:line="288" w:lineRule="exact"/>
        <w:ind w:left="4400" w:right="640" w:firstLine="0"/>
      </w:pPr>
      <w:r>
        <w:rPr>
          <w:lang w:val="ru-RU" w:eastAsia="ru-RU" w:bidi="ru-RU"/>
          <w:sz w:val="24"/>
          <w:szCs w:val="24"/>
          <w:w w:val="100"/>
          <w:spacing w:val="0"/>
          <w:color w:val="000000"/>
          <w:position w:val="0"/>
        </w:rPr>
        <w:t xml:space="preserve">ЗАО «Сбербанк - АСТ» </w:t>
      </w:r>
      <w:r>
        <w:fldChar w:fldCharType="begin"/>
      </w:r>
      <w:r>
        <w:rPr>
          <w:rStyle w:val="CharStyle14"/>
        </w:rPr>
        <w:instrText> HYPERLINK "mailto:ko@sberbank-ast.ru" </w:instrText>
      </w:r>
      <w:r>
        <w:fldChar w:fldCharType="separate"/>
      </w:r>
      <w:r>
        <w:rPr>
          <w:rStyle w:val="Hyperlink"/>
        </w:rPr>
        <w:t>ko@sberbank-ast.ru</w:t>
      </w:r>
      <w:r>
        <w:fldChar w:fldCharType="end"/>
      </w:r>
    </w:p>
    <w:p>
      <w:pPr>
        <w:pStyle w:val="Style9"/>
        <w:widowControl w:val="0"/>
        <w:keepNext/>
        <w:keepLines/>
        <w:shd w:val="clear" w:color="auto" w:fill="auto"/>
        <w:bidi w:val="0"/>
        <w:spacing w:before="0" w:after="296" w:line="240" w:lineRule="exact"/>
        <w:ind w:left="0" w:right="520" w:firstLine="0"/>
      </w:pPr>
      <w:bookmarkStart w:id="4" w:name="bookmark4"/>
      <w:r>
        <w:rPr>
          <w:lang w:val="ru-RU" w:eastAsia="ru-RU" w:bidi="ru-RU"/>
          <w:sz w:val="24"/>
          <w:szCs w:val="24"/>
          <w:w w:val="100"/>
          <w:spacing w:val="0"/>
          <w:color w:val="000000"/>
          <w:position w:val="0"/>
        </w:rPr>
        <w:t>РЕШЕНИЕ № 035/06/14-464/2020</w:t>
      </w:r>
      <w:bookmarkEnd w:id="4"/>
    </w:p>
    <w:p>
      <w:pPr>
        <w:pStyle w:val="Style12"/>
        <w:tabs>
          <w:tab w:leader="none" w:pos="8018" w:val="right"/>
          <w:tab w:leader="none" w:pos="8558" w:val="center"/>
        </w:tabs>
        <w:widowControl w:val="0"/>
        <w:keepNext w:val="0"/>
        <w:keepLines w:val="0"/>
        <w:shd w:val="clear" w:color="auto" w:fill="auto"/>
        <w:bidi w:val="0"/>
        <w:spacing w:before="0" w:after="256" w:line="240" w:lineRule="exact"/>
        <w:ind w:left="300" w:right="0" w:firstLine="0"/>
      </w:pPr>
      <w:r>
        <w:rPr>
          <w:lang w:val="ru-RU" w:eastAsia="ru-RU" w:bidi="ru-RU"/>
          <w:sz w:val="24"/>
          <w:szCs w:val="24"/>
          <w:w w:val="100"/>
          <w:spacing w:val="0"/>
          <w:color w:val="000000"/>
          <w:position w:val="0"/>
        </w:rPr>
        <w:t>«04» августа 2020 г.</w:t>
        <w:tab/>
        <w:t>г.</w:t>
        <w:tab/>
        <w:t>Вологда</w:t>
      </w:r>
    </w:p>
    <w:p>
      <w:pPr>
        <w:pStyle w:val="Style12"/>
        <w:widowControl w:val="0"/>
        <w:keepNext w:val="0"/>
        <w:keepLines w:val="0"/>
        <w:shd w:val="clear" w:color="auto" w:fill="auto"/>
        <w:bidi w:val="0"/>
        <w:spacing w:before="0" w:after="0" w:line="295" w:lineRule="exact"/>
        <w:ind w:left="300" w:right="0" w:firstLine="700"/>
      </w:pPr>
      <w:r>
        <w:rPr>
          <w:lang w:val="ru-RU" w:eastAsia="ru-RU" w:bidi="ru-RU"/>
          <w:sz w:val="24"/>
          <w:szCs w:val="24"/>
          <w:w w:val="100"/>
          <w:spacing w:val="0"/>
          <w:color w:val="000000"/>
          <w:position w:val="0"/>
        </w:rPr>
        <w:t>Комиссия по контролю в сфере закупок Управления Федеральной антимонопольной службы по Вологодской области (далее - Комиссия У ФАС) в составе:</w:t>
      </w:r>
    </w:p>
    <w:p>
      <w:pPr>
        <w:pStyle w:val="Style12"/>
        <w:widowControl w:val="0"/>
        <w:keepNext w:val="0"/>
        <w:keepLines w:val="0"/>
        <w:shd w:val="clear" w:color="auto" w:fill="auto"/>
        <w:bidi w:val="0"/>
        <w:spacing w:before="0" w:after="0" w:line="295" w:lineRule="exact"/>
        <w:ind w:left="300" w:right="0" w:firstLine="700"/>
      </w:pPr>
      <w:r>
        <w:rPr>
          <w:lang w:val="ru-RU" w:eastAsia="ru-RU" w:bidi="ru-RU"/>
          <w:sz w:val="24"/>
          <w:szCs w:val="24"/>
          <w:w w:val="100"/>
          <w:spacing w:val="0"/>
          <w:color w:val="000000"/>
          <w:position w:val="0"/>
        </w:rPr>
        <w:t>Сучков О.Н. - председатель комиссии, временно исполняющий обязанности заместителя руководителя Управления Федеральной антимонопольной службы по Вологодской области;</w:t>
      </w:r>
    </w:p>
    <w:p>
      <w:pPr>
        <w:pStyle w:val="Style12"/>
        <w:widowControl w:val="0"/>
        <w:keepNext w:val="0"/>
        <w:keepLines w:val="0"/>
        <w:shd w:val="clear" w:color="auto" w:fill="auto"/>
        <w:bidi w:val="0"/>
        <w:spacing w:before="0" w:after="0" w:line="295" w:lineRule="exact"/>
        <w:ind w:left="300" w:right="0" w:firstLine="700"/>
      </w:pPr>
      <w:r>
        <w:rPr>
          <w:lang w:val="ru-RU" w:eastAsia="ru-RU" w:bidi="ru-RU"/>
          <w:sz w:val="24"/>
          <w:szCs w:val="24"/>
          <w:w w:val="100"/>
          <w:spacing w:val="0"/>
          <w:color w:val="000000"/>
          <w:position w:val="0"/>
        </w:rPr>
        <w:t>Предтеченская Е.Н. - член комиссии, старший государственный инспектор Управления Федеральной антимонопольной службы по Вологодской области,</w:t>
      </w:r>
    </w:p>
    <w:p>
      <w:pPr>
        <w:pStyle w:val="Style12"/>
        <w:widowControl w:val="0"/>
        <w:keepNext w:val="0"/>
        <w:keepLines w:val="0"/>
        <w:shd w:val="clear" w:color="auto" w:fill="auto"/>
        <w:bidi w:val="0"/>
        <w:jc w:val="left"/>
        <w:spacing w:before="0" w:after="0" w:line="295" w:lineRule="exact"/>
        <w:ind w:left="300" w:right="580" w:firstLine="720"/>
      </w:pPr>
      <w:r>
        <w:rPr>
          <w:lang w:val="ru-RU" w:eastAsia="ru-RU" w:bidi="ru-RU"/>
          <w:sz w:val="24"/>
          <w:szCs w:val="24"/>
          <w:w w:val="100"/>
          <w:spacing w:val="0"/>
          <w:color w:val="000000"/>
          <w:position w:val="0"/>
        </w:rPr>
        <w:t>Кузнецова Ю.Н. - член комиссии, специалист-эксперт Управления Федеральной антимонопольной службы по Вологодской области;</w:t>
      </w:r>
    </w:p>
    <w:p>
      <w:pPr>
        <w:pStyle w:val="Style12"/>
        <w:widowControl w:val="0"/>
        <w:keepNext w:val="0"/>
        <w:keepLines w:val="0"/>
        <w:shd w:val="clear" w:color="auto" w:fill="auto"/>
        <w:bidi w:val="0"/>
        <w:jc w:val="left"/>
        <w:spacing w:before="0" w:after="0" w:line="295" w:lineRule="exact"/>
        <w:ind w:left="300" w:right="580" w:firstLine="720"/>
      </w:pPr>
      <w:r>
        <w:rPr>
          <w:lang w:val="ru-RU" w:eastAsia="ru-RU" w:bidi="ru-RU"/>
          <w:sz w:val="24"/>
          <w:szCs w:val="24"/>
          <w:w w:val="100"/>
          <w:spacing w:val="0"/>
          <w:color w:val="000000"/>
          <w:position w:val="0"/>
        </w:rPr>
        <w:t>рассмотрев жалобу ООО «ТД «АЛВИЛС» (далее - Заявитель) на положения документации при проведении электронного аукциона на поставку лекарственного препарата для медицинского применения Севофлуран (извещение № 0130200002420002186). (далее - электронный аукцион), в присутствии представителей:</w:t>
      </w:r>
    </w:p>
    <w:p>
      <w:pPr>
        <w:pStyle w:val="Style12"/>
        <w:widowControl w:val="0"/>
        <w:keepNext w:val="0"/>
        <w:keepLines w:val="0"/>
        <w:shd w:val="clear" w:color="auto" w:fill="auto"/>
        <w:bidi w:val="0"/>
        <w:jc w:val="left"/>
        <w:spacing w:before="0" w:after="0" w:line="266" w:lineRule="exact"/>
        <w:ind w:left="300" w:right="580" w:firstLine="720"/>
      </w:pPr>
      <w:r>
        <w:rPr>
          <w:lang w:val="ru-RU" w:eastAsia="ru-RU" w:bidi="ru-RU"/>
          <w:sz w:val="24"/>
          <w:szCs w:val="24"/>
          <w:w w:val="100"/>
          <w:spacing w:val="0"/>
          <w:color w:val="000000"/>
          <w:position w:val="0"/>
        </w:rPr>
        <w:t>от Заказчика - Сапунова Е.Н. (по доверенности), Голодовой Л.А. (по доверенности)</w:t>
      </w:r>
    </w:p>
    <w:p>
      <w:pPr>
        <w:pStyle w:val="Style12"/>
        <w:widowControl w:val="0"/>
        <w:keepNext w:val="0"/>
        <w:keepLines w:val="0"/>
        <w:shd w:val="clear" w:color="auto" w:fill="auto"/>
        <w:bidi w:val="0"/>
        <w:jc w:val="left"/>
        <w:spacing w:before="0" w:after="338" w:line="288" w:lineRule="exact"/>
        <w:ind w:left="300" w:right="580" w:firstLine="720"/>
      </w:pPr>
      <w:r>
        <w:rPr>
          <w:lang w:val="ru-RU" w:eastAsia="ru-RU" w:bidi="ru-RU"/>
          <w:sz w:val="24"/>
          <w:szCs w:val="24"/>
          <w:w w:val="100"/>
          <w:spacing w:val="0"/>
          <w:color w:val="000000"/>
          <w:position w:val="0"/>
        </w:rPr>
        <w:t>от Уполнмоченного органа - Добрыниной Е.А. (по доверенности), в отсутствие представителей Заявителя (уведомлен надлежащим образом о месте и времени рассмотрения),</w:t>
      </w:r>
    </w:p>
    <w:p>
      <w:pPr>
        <w:pStyle w:val="Style18"/>
        <w:widowControl w:val="0"/>
        <w:keepNext/>
        <w:keepLines/>
        <w:shd w:val="clear" w:color="auto" w:fill="auto"/>
        <w:bidi w:val="0"/>
        <w:jc w:val="left"/>
        <w:spacing w:before="0" w:after="218" w:line="240" w:lineRule="exact"/>
        <w:ind w:left="4340" w:right="0" w:firstLine="0"/>
      </w:pPr>
      <w:bookmarkStart w:id="5" w:name="bookmark5"/>
      <w:r>
        <w:rPr>
          <w:lang w:val="ru-RU" w:eastAsia="ru-RU" w:bidi="ru-RU"/>
          <w:sz w:val="24"/>
          <w:szCs w:val="24"/>
          <w:w w:val="100"/>
          <w:spacing w:val="0"/>
          <w:color w:val="000000"/>
          <w:position w:val="0"/>
        </w:rPr>
        <w:t>УСТАНОВИЛА:</w:t>
      </w:r>
      <w:bookmarkEnd w:id="5"/>
    </w:p>
    <w:p>
      <w:pPr>
        <w:pStyle w:val="Style12"/>
        <w:numPr>
          <w:ilvl w:val="0"/>
          <w:numId w:val="3"/>
        </w:numPr>
        <w:widowControl w:val="0"/>
        <w:keepNext w:val="0"/>
        <w:keepLines w:val="0"/>
        <w:shd w:val="clear" w:color="auto" w:fill="auto"/>
        <w:bidi w:val="0"/>
        <w:spacing w:before="0" w:after="0" w:line="295" w:lineRule="exact"/>
        <w:ind w:left="20" w:right="20" w:firstLine="420"/>
      </w:pPr>
      <w:r>
        <w:rPr>
          <w:lang w:val="ru-RU" w:eastAsia="ru-RU" w:bidi="ru-RU"/>
          <w:sz w:val="24"/>
          <w:szCs w:val="24"/>
          <w:w w:val="100"/>
          <w:spacing w:val="0"/>
          <w:color w:val="000000"/>
          <w:position w:val="0"/>
        </w:rPr>
        <w:t xml:space="preserve"> в Управление Федеральной антимонопольной службы по Вологодской области поступила жалоба от Заявителя на положения документации при проведении электронного аукциона, противоречащие Федеральному закону от 05.04.2013 о контрактной системе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2"/>
        <w:widowControl w:val="0"/>
        <w:keepNext w:val="0"/>
        <w:keepLines w:val="0"/>
        <w:shd w:val="clear" w:color="auto" w:fill="auto"/>
        <w:bidi w:val="0"/>
        <w:spacing w:before="0" w:after="0" w:line="295" w:lineRule="exact"/>
        <w:ind w:left="20" w:right="20" w:firstLine="420"/>
      </w:pPr>
      <w:r>
        <w:rPr>
          <w:lang w:val="ru-RU" w:eastAsia="ru-RU" w:bidi="ru-RU"/>
          <w:sz w:val="24"/>
          <w:szCs w:val="24"/>
          <w:w w:val="100"/>
          <w:spacing w:val="0"/>
          <w:color w:val="000000"/>
          <w:position w:val="0"/>
        </w:rPr>
        <w:t>Жалоба Заявителя подана в надлежащий срок, а также соответствует требованиям, предусмотренным ст. 105 Закона о контрактной системе.</w:t>
      </w:r>
    </w:p>
    <w:p>
      <w:pPr>
        <w:pStyle w:val="Style12"/>
        <w:widowControl w:val="0"/>
        <w:keepNext w:val="0"/>
        <w:keepLines w:val="0"/>
        <w:shd w:val="clear" w:color="auto" w:fill="auto"/>
        <w:bidi w:val="0"/>
        <w:spacing w:before="0" w:after="0" w:line="295" w:lineRule="exact"/>
        <w:ind w:left="20" w:right="20" w:firstLine="420"/>
      </w:pPr>
      <w:r>
        <w:rPr>
          <w:lang w:val="ru-RU" w:eastAsia="ru-RU" w:bidi="ru-RU"/>
          <w:sz w:val="24"/>
          <w:szCs w:val="24"/>
          <w:w w:val="100"/>
          <w:spacing w:val="0"/>
          <w:color w:val="000000"/>
          <w:position w:val="0"/>
        </w:rPr>
        <w:t xml:space="preserve">По мнению Заявителя, Заказчиком неправомерно в аукционной документации установлено требование к первичной упаковке лекарственного препарата «Севофлуран» (наличие специальной укупорочной системы типа </w:t>
      </w:r>
      <w:r>
        <w:rPr>
          <w:lang w:val="en-US" w:eastAsia="en-US" w:bidi="en-US"/>
          <w:sz w:val="24"/>
          <w:szCs w:val="24"/>
          <w:w w:val="100"/>
          <w:spacing w:val="0"/>
          <w:color w:val="000000"/>
          <w:position w:val="0"/>
        </w:rPr>
        <w:t xml:space="preserve">Quik-Fil), </w:t>
      </w:r>
      <w:r>
        <w:rPr>
          <w:lang w:val="ru-RU" w:eastAsia="ru-RU" w:bidi="ru-RU"/>
          <w:sz w:val="24"/>
          <w:szCs w:val="24"/>
          <w:w w:val="100"/>
          <w:spacing w:val="0"/>
          <w:color w:val="000000"/>
          <w:position w:val="0"/>
        </w:rPr>
        <w:t>а также подготовлено ненадлежащее обоснование необходимости использования для данного лекарственного препарата характеристик, указывающих на конкретного производителя.</w:t>
      </w:r>
    </w:p>
    <w:p>
      <w:pPr>
        <w:pStyle w:val="Style12"/>
        <w:widowControl w:val="0"/>
        <w:keepNext w:val="0"/>
        <w:keepLines w:val="0"/>
        <w:shd w:val="clear" w:color="auto" w:fill="auto"/>
        <w:bidi w:val="0"/>
        <w:spacing w:before="0" w:after="0" w:line="295" w:lineRule="exact"/>
        <w:ind w:left="20" w:right="20" w:firstLine="420"/>
      </w:pPr>
      <w:r>
        <w:rPr>
          <w:lang w:val="ru-RU" w:eastAsia="ru-RU" w:bidi="ru-RU"/>
          <w:sz w:val="24"/>
          <w:szCs w:val="24"/>
          <w:w w:val="100"/>
          <w:spacing w:val="0"/>
          <w:color w:val="000000"/>
          <w:position w:val="0"/>
        </w:rPr>
        <w:t xml:space="preserve">Представители Заказчика с доводами жалобы не согласились, ссылаясь на то, что включение в аукционную документацию требования о поставке лекарственного препарата «Севофлуран» во флаконах, оснащенных укупорочной системой типа </w:t>
      </w:r>
      <w:r>
        <w:rPr>
          <w:lang w:val="en-US" w:eastAsia="en-US" w:bidi="en-US"/>
          <w:sz w:val="24"/>
          <w:szCs w:val="24"/>
          <w:w w:val="100"/>
          <w:spacing w:val="0"/>
          <w:color w:val="000000"/>
          <w:position w:val="0"/>
        </w:rPr>
        <w:t xml:space="preserve">Quik-Fil, </w:t>
      </w:r>
      <w:r>
        <w:rPr>
          <w:lang w:val="ru-RU" w:eastAsia="ru-RU" w:bidi="ru-RU"/>
          <w:sz w:val="24"/>
          <w:szCs w:val="24"/>
          <w:w w:val="100"/>
          <w:spacing w:val="0"/>
          <w:color w:val="000000"/>
          <w:position w:val="0"/>
        </w:rPr>
        <w:t>правомерно. Данное требование обусловлено необходимостью Заказчика именно в таком препарате и обосновано в положениях аукционной документации.</w:t>
      </w:r>
    </w:p>
    <w:p>
      <w:pPr>
        <w:pStyle w:val="Style12"/>
        <w:widowControl w:val="0"/>
        <w:keepNext w:val="0"/>
        <w:keepLines w:val="0"/>
        <w:shd w:val="clear" w:color="auto" w:fill="auto"/>
        <w:bidi w:val="0"/>
        <w:spacing w:before="0" w:after="0" w:line="295" w:lineRule="exact"/>
        <w:ind w:left="20" w:right="0" w:firstLine="420"/>
      </w:pPr>
      <w:r>
        <w:rPr>
          <w:lang w:val="ru-RU" w:eastAsia="ru-RU" w:bidi="ru-RU"/>
          <w:sz w:val="24"/>
          <w:szCs w:val="24"/>
          <w:w w:val="100"/>
          <w:spacing w:val="0"/>
          <w:color w:val="000000"/>
          <w:position w:val="0"/>
        </w:rPr>
        <w:t>Представитель Уполномоченного органа поддержал позицию Заказчика.</w:t>
      </w:r>
    </w:p>
    <w:p>
      <w:pPr>
        <w:pStyle w:val="Style12"/>
        <w:widowControl w:val="0"/>
        <w:keepNext w:val="0"/>
        <w:keepLines w:val="0"/>
        <w:shd w:val="clear" w:color="auto" w:fill="auto"/>
        <w:bidi w:val="0"/>
        <w:spacing w:before="0" w:after="0" w:line="295" w:lineRule="exact"/>
        <w:ind w:left="20" w:right="20" w:firstLine="420"/>
      </w:pPr>
      <w:r>
        <w:rPr>
          <w:lang w:val="ru-RU" w:eastAsia="ru-RU" w:bidi="ru-RU"/>
          <w:sz w:val="24"/>
          <w:szCs w:val="24"/>
          <w:w w:val="100"/>
          <w:spacing w:val="0"/>
          <w:color w:val="000000"/>
          <w:position w:val="0"/>
        </w:rPr>
        <w:t>Комиссия У ФАС, рассмотрев представленные материалы, пришла к следующему выводу.</w:t>
      </w:r>
    </w:p>
    <w:p>
      <w:pPr>
        <w:pStyle w:val="Style12"/>
        <w:numPr>
          <w:ilvl w:val="0"/>
          <w:numId w:val="5"/>
        </w:numPr>
        <w:widowControl w:val="0"/>
        <w:keepNext w:val="0"/>
        <w:keepLines w:val="0"/>
        <w:shd w:val="clear" w:color="auto" w:fill="auto"/>
        <w:bidi w:val="0"/>
        <w:spacing w:before="0" w:after="0" w:line="295" w:lineRule="exact"/>
        <w:ind w:left="20" w:right="20" w:firstLine="420"/>
      </w:pPr>
      <w:r>
        <w:rPr>
          <w:lang w:val="ru-RU" w:eastAsia="ru-RU" w:bidi="ru-RU"/>
          <w:sz w:val="24"/>
          <w:szCs w:val="24"/>
          <w:w w:val="100"/>
          <w:spacing w:val="0"/>
          <w:color w:val="000000"/>
          <w:position w:val="0"/>
        </w:rPr>
        <w:t xml:space="preserve"> в Единой информационной системе в сфере закупок (далее - ЕИС) размещено извещение № 0130200002420002186 о проведении электронного аукциона.</w:t>
      </w:r>
    </w:p>
    <w:p>
      <w:pPr>
        <w:pStyle w:val="Style12"/>
        <w:widowControl w:val="0"/>
        <w:keepNext w:val="0"/>
        <w:keepLines w:val="0"/>
        <w:shd w:val="clear" w:color="auto" w:fill="auto"/>
        <w:bidi w:val="0"/>
        <w:spacing w:before="0" w:after="0" w:line="295" w:lineRule="exact"/>
        <w:ind w:left="20" w:right="20" w:firstLine="420"/>
      </w:pPr>
      <w:r>
        <w:rPr>
          <w:lang w:val="ru-RU" w:eastAsia="ru-RU" w:bidi="ru-RU"/>
          <w:sz w:val="24"/>
          <w:szCs w:val="24"/>
          <w:w w:val="100"/>
          <w:spacing w:val="0"/>
          <w:color w:val="000000"/>
          <w:position w:val="0"/>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 начальных цен единиц товара, работы, услуги.</w:t>
      </w:r>
    </w:p>
    <w:p>
      <w:pPr>
        <w:pStyle w:val="Style12"/>
        <w:widowControl w:val="0"/>
        <w:keepNext w:val="0"/>
        <w:keepLines w:val="0"/>
        <w:shd w:val="clear" w:color="auto" w:fill="auto"/>
        <w:bidi w:val="0"/>
        <w:spacing w:before="0" w:after="0" w:line="295" w:lineRule="exact"/>
        <w:ind w:left="20" w:right="20" w:firstLine="420"/>
      </w:pPr>
      <w:r>
        <w:rPr>
          <w:lang w:val="ru-RU" w:eastAsia="ru-RU" w:bidi="ru-RU"/>
          <w:sz w:val="24"/>
          <w:szCs w:val="24"/>
          <w:w w:val="100"/>
          <w:spacing w:val="0"/>
          <w:color w:val="000000"/>
          <w:position w:val="0"/>
        </w:rPr>
        <w:t>В силу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2"/>
        <w:widowControl w:val="0"/>
        <w:keepNext w:val="0"/>
        <w:keepLines w:val="0"/>
        <w:shd w:val="clear" w:color="auto" w:fill="auto"/>
        <w:bidi w:val="0"/>
        <w:spacing w:before="0" w:after="0" w:line="295" w:lineRule="exact"/>
        <w:ind w:left="40" w:right="20" w:firstLine="440"/>
      </w:pPr>
      <w:r>
        <w:rPr>
          <w:lang w:val="ru-RU" w:eastAsia="ru-RU" w:bidi="ru-RU"/>
          <w:sz w:val="24"/>
          <w:szCs w:val="24"/>
          <w:w w:val="100"/>
          <w:spacing w:val="0"/>
          <w:color w:val="000000"/>
          <w:position w:val="0"/>
        </w:rPr>
        <w:t>Из буквального толкования вышеуказанных норм закона следует, что в зависимости от своих потребностей заказчик в документации об электронном аукционе должен установить такие требования к объекту закупки, которые бы учитывали специфику его деятельности, а также с целью обеспечения эффективного использования бюджетных средств, при соблюдении установленных законодательством Российской Федерации положений, направленных на обеспечение конкурентной среды при проведении закупок для государственных и муниципальных нужд.</w:t>
      </w:r>
    </w:p>
    <w:p>
      <w:pPr>
        <w:pStyle w:val="Style12"/>
        <w:widowControl w:val="0"/>
        <w:keepNext w:val="0"/>
        <w:keepLines w:val="0"/>
        <w:shd w:val="clear" w:color="auto" w:fill="auto"/>
        <w:bidi w:val="0"/>
        <w:spacing w:before="0" w:after="0" w:line="295" w:lineRule="exact"/>
        <w:ind w:left="40" w:right="20" w:firstLine="440"/>
      </w:pPr>
      <w:r>
        <w:rPr>
          <w:lang w:val="ru-RU" w:eastAsia="ru-RU" w:bidi="ru-RU"/>
          <w:sz w:val="24"/>
          <w:szCs w:val="24"/>
          <w:w w:val="100"/>
          <w:spacing w:val="0"/>
          <w:color w:val="000000"/>
          <w:position w:val="0"/>
        </w:rPr>
        <w:t>При составлении описания объекта закупки следует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 (пункт 2 части 1 статьи 33 Закона о контрактной системе).</w:t>
      </w:r>
    </w:p>
    <w:p>
      <w:pPr>
        <w:pStyle w:val="Style12"/>
        <w:widowControl w:val="0"/>
        <w:keepNext w:val="0"/>
        <w:keepLines w:val="0"/>
        <w:shd w:val="clear" w:color="auto" w:fill="auto"/>
        <w:bidi w:val="0"/>
        <w:spacing w:before="0" w:after="0" w:line="295" w:lineRule="exact"/>
        <w:ind w:left="40" w:right="20" w:firstLine="440"/>
      </w:pPr>
      <w:r>
        <w:rPr>
          <w:lang w:val="ru-RU" w:eastAsia="ru-RU" w:bidi="ru-RU"/>
          <w:sz w:val="24"/>
          <w:szCs w:val="24"/>
          <w:w w:val="100"/>
          <w:spacing w:val="0"/>
          <w:color w:val="000000"/>
          <w:position w:val="0"/>
        </w:rPr>
        <w:t>Согласно пункту 6 части 1 статьи 33 Закона о контрактной системе документация о закупке должна содержать указание на международные непатентованные наименования (МНН)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w:t>
      </w:r>
    </w:p>
    <w:p>
      <w:pPr>
        <w:pStyle w:val="Style12"/>
        <w:widowControl w:val="0"/>
        <w:keepNext w:val="0"/>
        <w:keepLines w:val="0"/>
        <w:shd w:val="clear" w:color="auto" w:fill="auto"/>
        <w:bidi w:val="0"/>
        <w:spacing w:before="0" w:after="0" w:line="295" w:lineRule="exact"/>
        <w:ind w:left="40" w:right="20" w:firstLine="440"/>
      </w:pPr>
      <w:r>
        <w:rPr>
          <w:lang w:val="ru-RU" w:eastAsia="ru-RU" w:bidi="ru-RU"/>
          <w:sz w:val="24"/>
          <w:szCs w:val="24"/>
          <w:w w:val="100"/>
          <w:spacing w:val="0"/>
          <w:color w:val="000000"/>
          <w:position w:val="0"/>
        </w:rPr>
        <w:t>В силу части 5 статьи 33 Закона о контрактной системе особенности описания отдельных видов объектов закупок могут устанавливаться Правительством Российской Федерации.</w:t>
      </w:r>
    </w:p>
    <w:p>
      <w:pPr>
        <w:pStyle w:val="Style12"/>
        <w:widowControl w:val="0"/>
        <w:keepNext w:val="0"/>
        <w:keepLines w:val="0"/>
        <w:shd w:val="clear" w:color="auto" w:fill="auto"/>
        <w:bidi w:val="0"/>
        <w:spacing w:before="0" w:after="0" w:line="295" w:lineRule="exact"/>
        <w:ind w:left="40" w:right="20" w:firstLine="440"/>
      </w:pPr>
      <w:r>
        <w:rPr>
          <w:lang w:val="ru-RU" w:eastAsia="ru-RU" w:bidi="ru-RU"/>
          <w:sz w:val="24"/>
          <w:szCs w:val="24"/>
          <w:w w:val="100"/>
          <w:spacing w:val="0"/>
          <w:color w:val="000000"/>
          <w:position w:val="0"/>
        </w:rPr>
        <w:t>Особенности описания лекарственных препаратов для медицинского применения, являющихся объектом закупки для обеспечения государственных и муниципальных нужд, утверждены Постановлением Правительства РФ ог 15.11.2017 № 1380 «Об особенностях описания лекарственных препаратов для медицинского применения, являющихся объектом закупки для обеспечения государственных и муниципальных нужд» (далее - Особенности описания лекарственных препаратов).</w:t>
      </w:r>
    </w:p>
    <w:p>
      <w:pPr>
        <w:pStyle w:val="Style12"/>
        <w:widowControl w:val="0"/>
        <w:keepNext w:val="0"/>
        <w:keepLines w:val="0"/>
        <w:shd w:val="clear" w:color="auto" w:fill="auto"/>
        <w:bidi w:val="0"/>
        <w:spacing w:before="0" w:after="0" w:line="295" w:lineRule="exact"/>
        <w:ind w:left="40" w:right="20" w:firstLine="440"/>
      </w:pPr>
      <w:r>
        <w:rPr>
          <w:lang w:val="ru-RU" w:eastAsia="ru-RU" w:bidi="ru-RU"/>
          <w:sz w:val="24"/>
          <w:szCs w:val="24"/>
          <w:w w:val="100"/>
          <w:spacing w:val="0"/>
          <w:color w:val="000000"/>
          <w:position w:val="0"/>
        </w:rPr>
        <w:t>В соответствии с пунктом 5 Особенностей описания лекарственных препаратов при описании объекта закупки не допускается указывать:</w:t>
      </w:r>
    </w:p>
    <w:p>
      <w:pPr>
        <w:pStyle w:val="Style12"/>
        <w:widowControl w:val="0"/>
        <w:keepNext w:val="0"/>
        <w:keepLines w:val="0"/>
        <w:shd w:val="clear" w:color="auto" w:fill="auto"/>
        <w:bidi w:val="0"/>
        <w:spacing w:before="0" w:after="0" w:line="295" w:lineRule="exact"/>
        <w:ind w:left="40" w:right="20" w:firstLine="440"/>
      </w:pPr>
      <w:r>
        <w:rPr>
          <w:lang w:val="ru-RU" w:eastAsia="ru-RU" w:bidi="ru-RU"/>
          <w:sz w:val="24"/>
          <w:szCs w:val="24"/>
          <w:w w:val="100"/>
          <w:spacing w:val="0"/>
          <w:color w:val="000000"/>
          <w:position w:val="0"/>
        </w:rPr>
        <w:t>а) эквивалентные дозировки лекарственного препарата, предусматривающие необходимость деления твердой лекарственной формы препарата;</w:t>
      </w:r>
    </w:p>
    <w:p>
      <w:pPr>
        <w:pStyle w:val="Style12"/>
        <w:widowControl w:val="0"/>
        <w:keepNext w:val="0"/>
        <w:keepLines w:val="0"/>
        <w:shd w:val="clear" w:color="auto" w:fill="auto"/>
        <w:bidi w:val="0"/>
        <w:spacing w:before="0" w:after="0" w:line="295" w:lineRule="exact"/>
        <w:ind w:left="40" w:right="20" w:firstLine="440"/>
      </w:pPr>
      <w:r>
        <w:rPr>
          <w:lang w:val="ru-RU" w:eastAsia="ru-RU" w:bidi="ru-RU"/>
          <w:sz w:val="24"/>
          <w:szCs w:val="24"/>
          <w:w w:val="100"/>
          <w:spacing w:val="0"/>
          <w:color w:val="000000"/>
          <w:position w:val="0"/>
        </w:rPr>
        <w:t xml:space="preserve">б) дозировку лекарственного препарата в определенных единицах измерения при возможности конвертирования в иные единицы измерения (например, </w:t>
      </w:r>
      <w:r>
        <w:rPr>
          <w:lang w:val="en-US" w:eastAsia="en-US" w:bidi="en-US"/>
          <w:sz w:val="24"/>
          <w:szCs w:val="24"/>
          <w:w w:val="100"/>
          <w:spacing w:val="0"/>
          <w:color w:val="000000"/>
          <w:position w:val="0"/>
        </w:rPr>
        <w:t xml:space="preserve">"ME" </w:t>
      </w:r>
      <w:r>
        <w:rPr>
          <w:lang w:val="ru-RU" w:eastAsia="ru-RU" w:bidi="ru-RU"/>
          <w:sz w:val="24"/>
          <w:szCs w:val="24"/>
          <w:w w:val="100"/>
          <w:spacing w:val="0"/>
          <w:color w:val="000000"/>
          <w:position w:val="0"/>
        </w:rPr>
        <w:t>(международная единица) может быть конвертирована в "мг" или "процент" может быть конвертирован в "мг/мл" и т.д.);</w:t>
      </w:r>
    </w:p>
    <w:p>
      <w:pPr>
        <w:pStyle w:val="Style12"/>
        <w:widowControl w:val="0"/>
        <w:keepNext w:val="0"/>
        <w:keepLines w:val="0"/>
        <w:shd w:val="clear" w:color="auto" w:fill="auto"/>
        <w:bidi w:val="0"/>
        <w:spacing w:before="0" w:after="0" w:line="274" w:lineRule="exact"/>
        <w:ind w:left="700" w:right="20" w:firstLine="440"/>
      </w:pPr>
      <w:r>
        <w:rPr>
          <w:lang w:val="ru-RU" w:eastAsia="ru-RU" w:bidi="ru-RU"/>
          <w:sz w:val="24"/>
          <w:szCs w:val="24"/>
          <w:w w:val="100"/>
          <w:spacing w:val="0"/>
          <w:color w:val="000000"/>
          <w:position w:val="0"/>
        </w:rPr>
        <w:t>в) объем наполнения первичной упаковки лекарственного препарата, за исключением растворов для инфузий;</w:t>
      </w:r>
    </w:p>
    <w:p>
      <w:pPr>
        <w:pStyle w:val="Style12"/>
        <w:widowControl w:val="0"/>
        <w:keepNext w:val="0"/>
        <w:keepLines w:val="0"/>
        <w:shd w:val="clear" w:color="auto" w:fill="auto"/>
        <w:bidi w:val="0"/>
        <w:spacing w:before="0" w:after="0" w:line="240" w:lineRule="exact"/>
        <w:ind w:left="700" w:right="0" w:firstLine="440"/>
      </w:pPr>
      <w:r>
        <w:rPr>
          <w:lang w:val="ru-RU" w:eastAsia="ru-RU" w:bidi="ru-RU"/>
          <w:sz w:val="24"/>
          <w:szCs w:val="24"/>
          <w:w w:val="100"/>
          <w:spacing w:val="0"/>
          <w:color w:val="000000"/>
          <w:position w:val="0"/>
        </w:rPr>
        <w:t>г) наличие (отсутствие) вспомогательных веществ;</w:t>
      </w:r>
    </w:p>
    <w:p>
      <w:pPr>
        <w:pStyle w:val="Style12"/>
        <w:widowControl w:val="0"/>
        <w:keepNext w:val="0"/>
        <w:keepLines w:val="0"/>
        <w:shd w:val="clear" w:color="auto" w:fill="auto"/>
        <w:bidi w:val="0"/>
        <w:spacing w:before="0" w:after="0" w:line="277" w:lineRule="exact"/>
        <w:ind w:left="700" w:right="20" w:firstLine="440"/>
      </w:pPr>
      <w:r>
        <w:rPr>
          <w:lang w:val="ru-RU" w:eastAsia="ru-RU" w:bidi="ru-RU"/>
          <w:sz w:val="24"/>
          <w:szCs w:val="24"/>
          <w:w w:val="100"/>
          <w:spacing w:val="0"/>
          <w:color w:val="000000"/>
          <w:position w:val="0"/>
        </w:rPr>
        <w:t>д) фиксированный температурный режим хранения препаратов при наличии альтернативного;</w:t>
      </w:r>
    </w:p>
    <w:p>
      <w:pPr>
        <w:pStyle w:val="Style12"/>
        <w:widowControl w:val="0"/>
        <w:keepNext w:val="0"/>
        <w:keepLines w:val="0"/>
        <w:shd w:val="clear" w:color="auto" w:fill="auto"/>
        <w:bidi w:val="0"/>
        <w:spacing w:before="0" w:after="0" w:line="295" w:lineRule="exact"/>
        <w:ind w:left="700" w:right="20" w:firstLine="440"/>
      </w:pPr>
      <w:r>
        <w:rPr>
          <w:lang w:val="ru-RU" w:eastAsia="ru-RU" w:bidi="ru-RU"/>
          <w:sz w:val="24"/>
          <w:szCs w:val="24"/>
          <w:w w:val="100"/>
          <w:spacing w:val="0"/>
          <w:color w:val="000000"/>
          <w:position w:val="0"/>
        </w:rPr>
        <w:t>е) форму выпуска (первичной упаковки) лекарственного препарата (например, "ампула", "флакон", "блистер" и др.);</w:t>
      </w:r>
    </w:p>
    <w:p>
      <w:pPr>
        <w:pStyle w:val="Style12"/>
        <w:widowControl w:val="0"/>
        <w:keepNext w:val="0"/>
        <w:keepLines w:val="0"/>
        <w:shd w:val="clear" w:color="auto" w:fill="auto"/>
        <w:bidi w:val="0"/>
        <w:spacing w:before="0" w:after="0" w:line="295" w:lineRule="exact"/>
        <w:ind w:left="700" w:right="20" w:firstLine="440"/>
      </w:pPr>
      <w:r>
        <w:rPr>
          <w:lang w:val="ru-RU" w:eastAsia="ru-RU" w:bidi="ru-RU"/>
          <w:sz w:val="24"/>
          <w:szCs w:val="24"/>
          <w:w w:val="100"/>
          <w:spacing w:val="0"/>
          <w:color w:val="000000"/>
          <w:position w:val="0"/>
        </w:rPr>
        <w:t>ж) количество единиц (таблеток, ампул) лекарственного препарата во вторичной упаковке, а также требование поставки конкретного количества упаковок вместо количества лекарственного препарата;</w:t>
      </w:r>
    </w:p>
    <w:p>
      <w:pPr>
        <w:pStyle w:val="Style12"/>
        <w:widowControl w:val="0"/>
        <w:keepNext w:val="0"/>
        <w:keepLines w:val="0"/>
        <w:shd w:val="clear" w:color="auto" w:fill="auto"/>
        <w:bidi w:val="0"/>
        <w:spacing w:before="0" w:after="0" w:line="295" w:lineRule="exact"/>
        <w:ind w:left="700" w:right="20" w:firstLine="440"/>
      </w:pPr>
      <w:r>
        <w:rPr>
          <w:lang w:val="ru-RU" w:eastAsia="ru-RU" w:bidi="ru-RU"/>
          <w:sz w:val="24"/>
          <w:szCs w:val="24"/>
          <w:w w:val="100"/>
          <w:spacing w:val="0"/>
          <w:color w:val="000000"/>
          <w:position w:val="0"/>
        </w:rPr>
        <w:t>з) требования к показателям фармакодинамики и (или) фармакокинетики лекарственного препарата (например, время начала действия, проявление максимального эффекта, продолжительность действия лекарственного препарата);</w:t>
      </w:r>
    </w:p>
    <w:p>
      <w:pPr>
        <w:pStyle w:val="Style12"/>
        <w:widowControl w:val="0"/>
        <w:keepNext w:val="0"/>
        <w:keepLines w:val="0"/>
        <w:shd w:val="clear" w:color="auto" w:fill="auto"/>
        <w:bidi w:val="0"/>
        <w:spacing w:before="0" w:after="0" w:line="295" w:lineRule="exact"/>
        <w:ind w:left="700" w:right="20" w:firstLine="440"/>
      </w:pPr>
      <w:r>
        <w:rPr>
          <w:lang w:val="ru-RU" w:eastAsia="ru-RU" w:bidi="ru-RU"/>
          <w:sz w:val="24"/>
          <w:szCs w:val="24"/>
          <w:w w:val="100"/>
          <w:spacing w:val="0"/>
          <w:color w:val="000000"/>
          <w:position w:val="0"/>
        </w:rPr>
        <w:t>и) иные характеристики лекарственных препаратов, содержащиеся в инструкциях по применению лекарственных препаратов, указывающие на конкретного производителя лекарственного препарата.</w:t>
      </w:r>
    </w:p>
    <w:p>
      <w:pPr>
        <w:pStyle w:val="Style12"/>
        <w:widowControl w:val="0"/>
        <w:keepNext w:val="0"/>
        <w:keepLines w:val="0"/>
        <w:shd w:val="clear" w:color="auto" w:fill="auto"/>
        <w:bidi w:val="0"/>
        <w:spacing w:before="0" w:after="0" w:line="295" w:lineRule="exact"/>
        <w:ind w:left="700" w:right="20" w:firstLine="440"/>
      </w:pPr>
      <w:r>
        <w:rPr>
          <w:lang w:val="ru-RU" w:eastAsia="ru-RU" w:bidi="ru-RU"/>
          <w:sz w:val="24"/>
          <w:szCs w:val="24"/>
          <w:w w:val="100"/>
          <w:spacing w:val="0"/>
          <w:color w:val="000000"/>
          <w:position w:val="0"/>
        </w:rPr>
        <w:t>В силу пункта 6 Особенностей описания лекарственных препаратов описание объекта закупки может содержать указание на характеристики, предусмотренные подпунктами "в" - "и" пункта 5 настоящего документа, в случае, если не имеется иной возможности описать лекарственные препараты. При этом документация о закупке должна содержать:</w:t>
      </w:r>
    </w:p>
    <w:p>
      <w:pPr>
        <w:pStyle w:val="Style12"/>
        <w:widowControl w:val="0"/>
        <w:keepNext w:val="0"/>
        <w:keepLines w:val="0"/>
        <w:shd w:val="clear" w:color="auto" w:fill="auto"/>
        <w:bidi w:val="0"/>
        <w:spacing w:before="0" w:after="0" w:line="295" w:lineRule="exact"/>
        <w:ind w:left="700" w:right="0" w:firstLine="440"/>
      </w:pPr>
      <w:r>
        <w:rPr>
          <w:lang w:val="ru-RU" w:eastAsia="ru-RU" w:bidi="ru-RU"/>
          <w:sz w:val="24"/>
          <w:szCs w:val="24"/>
          <w:w w:val="100"/>
          <w:spacing w:val="0"/>
          <w:color w:val="000000"/>
          <w:position w:val="0"/>
        </w:rPr>
        <w:t>а) обоснование необходимости указания таких характеристик;</w:t>
      </w:r>
    </w:p>
    <w:p>
      <w:pPr>
        <w:pStyle w:val="Style12"/>
        <w:widowControl w:val="0"/>
        <w:keepNext w:val="0"/>
        <w:keepLines w:val="0"/>
        <w:shd w:val="clear" w:color="auto" w:fill="auto"/>
        <w:bidi w:val="0"/>
        <w:spacing w:before="0" w:after="0" w:line="295" w:lineRule="exact"/>
        <w:ind w:left="700" w:right="20" w:firstLine="440"/>
      </w:pPr>
      <w:r>
        <w:rPr>
          <w:lang w:val="ru-RU" w:eastAsia="ru-RU" w:bidi="ru-RU"/>
          <w:sz w:val="24"/>
          <w:szCs w:val="24"/>
          <w:w w:val="100"/>
          <w:spacing w:val="0"/>
          <w:color w:val="000000"/>
          <w:position w:val="0"/>
        </w:rPr>
        <w:t>б) показатели, позволяющие определить соответствие закупаемых лекарственных препаратов установленным характеристикам и максимальные и (или) минимальные значения таких показателей, а также значения показателей, которые не могут изменяться.</w:t>
      </w:r>
    </w:p>
    <w:p>
      <w:pPr>
        <w:pStyle w:val="Style12"/>
        <w:widowControl w:val="0"/>
        <w:keepNext w:val="0"/>
        <w:keepLines w:val="0"/>
        <w:shd w:val="clear" w:color="auto" w:fill="auto"/>
        <w:bidi w:val="0"/>
        <w:spacing w:before="0" w:after="0" w:line="295" w:lineRule="exact"/>
        <w:ind w:left="700" w:right="20" w:firstLine="440"/>
      </w:pPr>
      <w:r>
        <w:rPr>
          <w:lang w:val="ru-RU" w:eastAsia="ru-RU" w:bidi="ru-RU"/>
          <w:sz w:val="24"/>
          <w:szCs w:val="24"/>
          <w:w w:val="100"/>
          <w:spacing w:val="0"/>
          <w:color w:val="000000"/>
          <w:position w:val="0"/>
        </w:rPr>
        <w:t>Из изложенных законодательных норм следует, что в зависимости от своих потребностей, с учетом положений Особенностей описания лекарственных препаратов заказчик в аукционной документации должен установить требования к поставке лекарственного препарата (в том числе требования к первичной упаковке) с учетом специфики его деятельности, имеющегося у заказчика оборудования и в целях обеспечения эффективного использования бюджетных средств, при соблюдении установленных законодательством Российской Федерации положений, направленных на обеспечение при проведении торгов конкурентной среды.</w:t>
      </w:r>
    </w:p>
    <w:p>
      <w:pPr>
        <w:pStyle w:val="Style12"/>
        <w:widowControl w:val="0"/>
        <w:keepNext w:val="0"/>
        <w:keepLines w:val="0"/>
        <w:shd w:val="clear" w:color="auto" w:fill="auto"/>
        <w:bidi w:val="0"/>
        <w:spacing w:before="0" w:after="0" w:line="295" w:lineRule="exact"/>
        <w:ind w:left="700" w:right="20" w:firstLine="440"/>
      </w:pPr>
      <w:r>
        <w:rPr>
          <w:lang w:val="ru-RU" w:eastAsia="ru-RU" w:bidi="ru-RU"/>
          <w:sz w:val="24"/>
          <w:szCs w:val="24"/>
          <w:w w:val="100"/>
          <w:spacing w:val="0"/>
          <w:color w:val="000000"/>
          <w:position w:val="0"/>
        </w:rPr>
        <w:t>Вместе с тем форма обоснования необходимости заказчика в указании тех или иных характеристик предмета закупки законодательно не определена. Следовательно, разработка формы и содержания обоснования такой необходимости, включаемого в аукционную документацию, исходит из личного усмотрения заказчика.</w:t>
      </w:r>
    </w:p>
    <w:p>
      <w:pPr>
        <w:pStyle w:val="Style12"/>
        <w:widowControl w:val="0"/>
        <w:keepNext w:val="0"/>
        <w:keepLines w:val="0"/>
        <w:shd w:val="clear" w:color="auto" w:fill="auto"/>
        <w:bidi w:val="0"/>
        <w:spacing w:before="0" w:after="241" w:line="295" w:lineRule="exact"/>
        <w:ind w:left="700" w:right="20" w:firstLine="440"/>
      </w:pPr>
      <w:r>
        <w:rPr>
          <w:lang w:val="ru-RU" w:eastAsia="ru-RU" w:bidi="ru-RU"/>
          <w:sz w:val="24"/>
          <w:szCs w:val="24"/>
          <w:w w:val="100"/>
          <w:spacing w:val="0"/>
          <w:color w:val="000000"/>
          <w:position w:val="0"/>
        </w:rPr>
        <w:t>В соответствии с разделом II. Описание объекта закупки документации об аукционе установлены показатели, позволяющие определить соответствие закупаемых товаров установленным заказчиком требованиям:</w:t>
      </w:r>
    </w:p>
    <w:tbl>
      <w:tblPr>
        <w:tblOverlap w:val="never"/>
        <w:tblLayout w:type="fixed"/>
        <w:jc w:val="center"/>
      </w:tblPr>
      <w:tblGrid>
        <w:gridCol w:w="414"/>
        <w:gridCol w:w="2455"/>
        <w:gridCol w:w="1228"/>
        <w:gridCol w:w="1181"/>
        <w:gridCol w:w="986"/>
        <w:gridCol w:w="2848"/>
        <w:gridCol w:w="842"/>
        <w:gridCol w:w="857"/>
      </w:tblGrid>
      <w:tr>
        <w:trPr>
          <w:trHeight w:val="252" w:hRule="exact"/>
        </w:trPr>
        <w:tc>
          <w:tcPr>
            <w:shd w:val="clear" w:color="auto" w:fill="FFFFFF"/>
            <w:vMerge w:val="restart"/>
            <w:tcBorders>
              <w:left w:val="single" w:sz="4"/>
              <w:top w:val="single" w:sz="4"/>
            </w:tcBorders>
            <w:vAlign w:val="center"/>
          </w:tcPr>
          <w:p>
            <w:pPr>
              <w:pStyle w:val="Style12"/>
              <w:framePr w:w="10811" w:wrap="notBeside" w:vAnchor="text" w:hAnchor="text" w:xAlign="center" w:y="1"/>
              <w:widowControl w:val="0"/>
              <w:keepNext w:val="0"/>
              <w:keepLines w:val="0"/>
              <w:shd w:val="clear" w:color="auto" w:fill="auto"/>
              <w:bidi w:val="0"/>
              <w:jc w:val="left"/>
              <w:spacing w:before="0" w:after="0" w:line="180" w:lineRule="exact"/>
              <w:ind w:left="160" w:right="0" w:firstLine="0"/>
            </w:pPr>
            <w:r>
              <w:rPr>
                <w:rStyle w:val="CharStyle20"/>
              </w:rPr>
              <w:t>№</w:t>
            </w:r>
          </w:p>
        </w:tc>
        <w:tc>
          <w:tcPr>
            <w:shd w:val="clear" w:color="auto" w:fill="FFFFFF"/>
            <w:vMerge w:val="restart"/>
            <w:tcBorders>
              <w:left w:val="single" w:sz="4"/>
              <w:top w:val="single" w:sz="4"/>
            </w:tcBorders>
            <w:vAlign w:val="center"/>
          </w:tcPr>
          <w:p>
            <w:pPr>
              <w:pStyle w:val="Style12"/>
              <w:framePr w:w="10811"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Наименование показателя</w:t>
            </w:r>
          </w:p>
        </w:tc>
        <w:tc>
          <w:tcPr>
            <w:shd w:val="clear" w:color="auto" w:fill="FFFFFF"/>
            <w:vMerge w:val="restart"/>
            <w:tcBorders>
              <w:left w:val="single" w:sz="4"/>
              <w:top w:val="single" w:sz="4"/>
            </w:tcBorders>
            <w:vAlign w:val="center"/>
          </w:tcPr>
          <w:p>
            <w:pPr>
              <w:pStyle w:val="Style12"/>
              <w:framePr w:w="10811" w:wrap="notBeside" w:vAnchor="text" w:hAnchor="text" w:xAlign="center" w:y="1"/>
              <w:widowControl w:val="0"/>
              <w:keepNext w:val="0"/>
              <w:keepLines w:val="0"/>
              <w:shd w:val="clear" w:color="auto" w:fill="auto"/>
              <w:bidi w:val="0"/>
              <w:jc w:val="center"/>
              <w:spacing w:before="0" w:after="0" w:line="223" w:lineRule="exact"/>
              <w:ind w:left="0" w:right="0" w:firstLine="0"/>
            </w:pPr>
            <w:r>
              <w:rPr>
                <w:rStyle w:val="CharStyle20"/>
              </w:rPr>
              <w:t>Ед. изм. показателя (при наличии)</w:t>
            </w:r>
          </w:p>
        </w:tc>
        <w:tc>
          <w:tcPr>
            <w:shd w:val="clear" w:color="auto" w:fill="FFFFFF"/>
            <w:gridSpan w:val="3"/>
            <w:tcBorders>
              <w:left w:val="single" w:sz="4"/>
              <w:top w:val="single" w:sz="4"/>
            </w:tcBorders>
            <w:vAlign w:val="bottom"/>
          </w:tcPr>
          <w:p>
            <w:pPr>
              <w:pStyle w:val="Style12"/>
              <w:framePr w:w="10811"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Значения показателей</w:t>
            </w:r>
          </w:p>
        </w:tc>
        <w:tc>
          <w:tcPr>
            <w:shd w:val="clear" w:color="auto" w:fill="FFFFFF"/>
            <w:vMerge w:val="restart"/>
            <w:tcBorders>
              <w:left w:val="single" w:sz="4"/>
              <w:top w:val="single" w:sz="4"/>
            </w:tcBorders>
            <w:vAlign w:val="center"/>
          </w:tcPr>
          <w:p>
            <w:pPr>
              <w:pStyle w:val="Style12"/>
              <w:framePr w:w="10811"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Ед.изм</w:t>
            </w:r>
          </w:p>
        </w:tc>
        <w:tc>
          <w:tcPr>
            <w:shd w:val="clear" w:color="auto" w:fill="FFFFFF"/>
            <w:vMerge w:val="restart"/>
            <w:tcBorders>
              <w:left w:val="single" w:sz="4"/>
              <w:right w:val="single" w:sz="4"/>
              <w:top w:val="single" w:sz="4"/>
            </w:tcBorders>
            <w:vAlign w:val="center"/>
          </w:tcPr>
          <w:p>
            <w:pPr>
              <w:pStyle w:val="Style12"/>
              <w:framePr w:w="10811" w:wrap="notBeside" w:vAnchor="text" w:hAnchor="text" w:xAlign="center" w:y="1"/>
              <w:widowControl w:val="0"/>
              <w:keepNext w:val="0"/>
              <w:keepLines w:val="0"/>
              <w:shd w:val="clear" w:color="auto" w:fill="auto"/>
              <w:bidi w:val="0"/>
              <w:jc w:val="center"/>
              <w:spacing w:before="0" w:after="0" w:line="223" w:lineRule="exact"/>
              <w:ind w:left="0" w:right="0" w:firstLine="0"/>
            </w:pPr>
            <w:r>
              <w:rPr>
                <w:rStyle w:val="CharStyle20"/>
              </w:rPr>
              <w:t>Количе</w:t>
            </w:r>
          </w:p>
          <w:p>
            <w:pPr>
              <w:pStyle w:val="Style12"/>
              <w:framePr w:w="10811" w:wrap="notBeside" w:vAnchor="text" w:hAnchor="text" w:xAlign="center" w:y="1"/>
              <w:widowControl w:val="0"/>
              <w:keepNext w:val="0"/>
              <w:keepLines w:val="0"/>
              <w:shd w:val="clear" w:color="auto" w:fill="auto"/>
              <w:bidi w:val="0"/>
              <w:jc w:val="center"/>
              <w:spacing w:before="0" w:after="0" w:line="223" w:lineRule="exact"/>
              <w:ind w:left="0" w:right="0" w:firstLine="0"/>
            </w:pPr>
            <w:r>
              <w:rPr>
                <w:rStyle w:val="CharStyle20"/>
              </w:rPr>
              <w:t>ство</w:t>
            </w:r>
          </w:p>
          <w:p>
            <w:pPr>
              <w:pStyle w:val="Style12"/>
              <w:framePr w:w="10811" w:wrap="notBeside" w:vAnchor="text" w:hAnchor="text" w:xAlign="center" w:y="1"/>
              <w:widowControl w:val="0"/>
              <w:keepNext w:val="0"/>
              <w:keepLines w:val="0"/>
              <w:shd w:val="clear" w:color="auto" w:fill="auto"/>
              <w:bidi w:val="0"/>
              <w:jc w:val="center"/>
              <w:spacing w:before="0" w:after="0" w:line="223" w:lineRule="exact"/>
              <w:ind w:left="0" w:right="0" w:firstLine="0"/>
            </w:pPr>
            <w:r>
              <w:rPr>
                <w:rStyle w:val="CharStyle20"/>
              </w:rPr>
              <w:t>товара</w:t>
            </w:r>
          </w:p>
        </w:tc>
      </w:tr>
      <w:tr>
        <w:trPr>
          <w:trHeight w:val="702" w:hRule="exact"/>
        </w:trPr>
        <w:tc>
          <w:tcPr>
            <w:shd w:val="clear" w:color="auto" w:fill="FFFFFF"/>
            <w:vMerge/>
            <w:tcBorders>
              <w:left w:val="single" w:sz="4"/>
            </w:tcBorders>
            <w:vAlign w:val="center"/>
          </w:tcPr>
          <w:p>
            <w:pPr>
              <w:framePr w:w="10811" w:wrap="notBeside" w:vAnchor="text" w:hAnchor="text" w:xAlign="center" w:y="1"/>
            </w:pPr>
          </w:p>
        </w:tc>
        <w:tc>
          <w:tcPr>
            <w:shd w:val="clear" w:color="auto" w:fill="FFFFFF"/>
            <w:vMerge/>
            <w:tcBorders>
              <w:left w:val="single" w:sz="4"/>
            </w:tcBorders>
            <w:vAlign w:val="center"/>
          </w:tcPr>
          <w:p>
            <w:pPr>
              <w:framePr w:w="10811" w:wrap="notBeside" w:vAnchor="text" w:hAnchor="text" w:xAlign="center" w:y="1"/>
            </w:pPr>
          </w:p>
        </w:tc>
        <w:tc>
          <w:tcPr>
            <w:shd w:val="clear" w:color="auto" w:fill="FFFFFF"/>
            <w:vMerge/>
            <w:tcBorders>
              <w:left w:val="single" w:sz="4"/>
            </w:tcBorders>
            <w:vAlign w:val="center"/>
          </w:tcPr>
          <w:p>
            <w:pPr>
              <w:framePr w:w="10811" w:wrap="notBeside" w:vAnchor="text" w:hAnchor="text" w:xAlign="center" w:y="1"/>
            </w:pPr>
          </w:p>
        </w:tc>
        <w:tc>
          <w:tcPr>
            <w:shd w:val="clear" w:color="auto" w:fill="FFFFFF"/>
            <w:gridSpan w:val="2"/>
            <w:tcBorders>
              <w:left w:val="single" w:sz="4"/>
              <w:top w:val="single" w:sz="4"/>
            </w:tcBorders>
            <w:vAlign w:val="bottom"/>
          </w:tcPr>
          <w:p>
            <w:pPr>
              <w:pStyle w:val="Style12"/>
              <w:framePr w:w="10811"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0"/>
              </w:rPr>
              <w:t>Значение показателя, которое может изменяться</w:t>
            </w:r>
          </w:p>
        </w:tc>
        <w:tc>
          <w:tcPr>
            <w:shd w:val="clear" w:color="auto" w:fill="FFFFFF"/>
            <w:vMerge w:val="restart"/>
            <w:tcBorders>
              <w:left w:val="single" w:sz="4"/>
              <w:top w:val="single" w:sz="4"/>
            </w:tcBorders>
            <w:vAlign w:val="center"/>
          </w:tcPr>
          <w:p>
            <w:pPr>
              <w:pStyle w:val="Style12"/>
              <w:framePr w:w="10811" w:wrap="notBeside" w:vAnchor="text" w:hAnchor="text" w:xAlign="center" w:y="1"/>
              <w:widowControl w:val="0"/>
              <w:keepNext w:val="0"/>
              <w:keepLines w:val="0"/>
              <w:shd w:val="clear" w:color="auto" w:fill="auto"/>
              <w:bidi w:val="0"/>
              <w:jc w:val="center"/>
              <w:spacing w:before="0" w:after="0" w:line="227" w:lineRule="exact"/>
              <w:ind w:left="0" w:right="0" w:firstLine="0"/>
            </w:pPr>
            <w:r>
              <w:rPr>
                <w:rStyle w:val="CharStyle20"/>
              </w:rPr>
              <w:t>Значение показателя, которое не может изменяться</w:t>
            </w:r>
          </w:p>
        </w:tc>
        <w:tc>
          <w:tcPr>
            <w:shd w:val="clear" w:color="auto" w:fill="FFFFFF"/>
            <w:vMerge/>
            <w:tcBorders>
              <w:left w:val="single" w:sz="4"/>
            </w:tcBorders>
            <w:vAlign w:val="center"/>
          </w:tcPr>
          <w:p>
            <w:pPr>
              <w:framePr w:w="10811" w:wrap="notBeside" w:vAnchor="text" w:hAnchor="text" w:xAlign="center" w:y="1"/>
            </w:pPr>
          </w:p>
        </w:tc>
        <w:tc>
          <w:tcPr>
            <w:shd w:val="clear" w:color="auto" w:fill="FFFFFF"/>
            <w:vMerge/>
            <w:tcBorders>
              <w:left w:val="single" w:sz="4"/>
              <w:right w:val="single" w:sz="4"/>
            </w:tcBorders>
            <w:vAlign w:val="center"/>
          </w:tcPr>
          <w:p>
            <w:pPr>
              <w:framePr w:w="10811" w:wrap="notBeside" w:vAnchor="text" w:hAnchor="text" w:xAlign="center" w:y="1"/>
            </w:pPr>
          </w:p>
        </w:tc>
      </w:tr>
      <w:tr>
        <w:trPr>
          <w:trHeight w:val="1152" w:hRule="exact"/>
        </w:trPr>
        <w:tc>
          <w:tcPr>
            <w:shd w:val="clear" w:color="auto" w:fill="FFFFFF"/>
            <w:vMerge/>
            <w:tcBorders>
              <w:left w:val="single" w:sz="4"/>
            </w:tcBorders>
            <w:vAlign w:val="center"/>
          </w:tcPr>
          <w:p>
            <w:pPr>
              <w:framePr w:w="10811" w:wrap="notBeside" w:vAnchor="text" w:hAnchor="text" w:xAlign="center" w:y="1"/>
            </w:pPr>
          </w:p>
        </w:tc>
        <w:tc>
          <w:tcPr>
            <w:shd w:val="clear" w:color="auto" w:fill="FFFFFF"/>
            <w:vMerge/>
            <w:tcBorders>
              <w:left w:val="single" w:sz="4"/>
            </w:tcBorders>
            <w:vAlign w:val="center"/>
          </w:tcPr>
          <w:p>
            <w:pPr>
              <w:framePr w:w="10811" w:wrap="notBeside" w:vAnchor="text" w:hAnchor="text" w:xAlign="center" w:y="1"/>
            </w:pPr>
          </w:p>
        </w:tc>
        <w:tc>
          <w:tcPr>
            <w:shd w:val="clear" w:color="auto" w:fill="FFFFFF"/>
            <w:vMerge/>
            <w:tcBorders>
              <w:left w:val="single" w:sz="4"/>
            </w:tcBorders>
            <w:vAlign w:val="center"/>
          </w:tcPr>
          <w:p>
            <w:pPr>
              <w:framePr w:w="10811" w:wrap="notBeside" w:vAnchor="text" w:hAnchor="text" w:xAlign="center" w:y="1"/>
            </w:pPr>
          </w:p>
        </w:tc>
        <w:tc>
          <w:tcPr>
            <w:shd w:val="clear" w:color="auto" w:fill="FFFFFF"/>
            <w:tcBorders>
              <w:left w:val="single" w:sz="4"/>
              <w:top w:val="single" w:sz="4"/>
            </w:tcBorders>
            <w:vAlign w:val="center"/>
          </w:tcPr>
          <w:p>
            <w:pPr>
              <w:pStyle w:val="Style12"/>
              <w:framePr w:w="10811"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0"/>
              </w:rPr>
              <w:t>Минималь</w:t>
            </w:r>
          </w:p>
          <w:p>
            <w:pPr>
              <w:pStyle w:val="Style12"/>
              <w:framePr w:w="10811"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0"/>
              </w:rPr>
              <w:t>ное</w:t>
            </w:r>
          </w:p>
          <w:p>
            <w:pPr>
              <w:pStyle w:val="Style12"/>
              <w:framePr w:w="10811"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0"/>
              </w:rPr>
              <w:t>значение</w:t>
            </w:r>
          </w:p>
          <w:p>
            <w:pPr>
              <w:pStyle w:val="Style12"/>
              <w:framePr w:w="10811"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0"/>
              </w:rPr>
              <w:t>показателя</w:t>
            </w:r>
          </w:p>
        </w:tc>
        <w:tc>
          <w:tcPr>
            <w:shd w:val="clear" w:color="auto" w:fill="FFFFFF"/>
            <w:tcBorders>
              <w:left w:val="single" w:sz="4"/>
              <w:top w:val="single" w:sz="4"/>
            </w:tcBorders>
            <w:vAlign w:val="top"/>
          </w:tcPr>
          <w:p>
            <w:pPr>
              <w:pStyle w:val="Style12"/>
              <w:framePr w:w="10811" w:wrap="notBeside" w:vAnchor="text" w:hAnchor="text" w:xAlign="center" w:y="1"/>
              <w:widowControl w:val="0"/>
              <w:keepNext w:val="0"/>
              <w:keepLines w:val="0"/>
              <w:shd w:val="clear" w:color="auto" w:fill="auto"/>
              <w:bidi w:val="0"/>
              <w:jc w:val="center"/>
              <w:spacing w:before="0" w:after="0" w:line="227" w:lineRule="exact"/>
              <w:ind w:left="0" w:right="0" w:firstLine="0"/>
            </w:pPr>
            <w:r>
              <w:rPr>
                <w:rStyle w:val="CharStyle20"/>
              </w:rPr>
              <w:t>Максима</w:t>
            </w:r>
          </w:p>
          <w:p>
            <w:pPr>
              <w:pStyle w:val="Style12"/>
              <w:framePr w:w="10811" w:wrap="notBeside" w:vAnchor="text" w:hAnchor="text" w:xAlign="center" w:y="1"/>
              <w:widowControl w:val="0"/>
              <w:keepNext w:val="0"/>
              <w:keepLines w:val="0"/>
              <w:shd w:val="clear" w:color="auto" w:fill="auto"/>
              <w:bidi w:val="0"/>
              <w:jc w:val="center"/>
              <w:spacing w:before="0" w:after="0" w:line="227" w:lineRule="exact"/>
              <w:ind w:left="0" w:right="0" w:firstLine="0"/>
            </w:pPr>
            <w:r>
              <w:rPr>
                <w:rStyle w:val="CharStyle20"/>
              </w:rPr>
              <w:t>льное</w:t>
            </w:r>
          </w:p>
          <w:p>
            <w:pPr>
              <w:pStyle w:val="Style12"/>
              <w:framePr w:w="10811" w:wrap="notBeside" w:vAnchor="text" w:hAnchor="text" w:xAlign="center" w:y="1"/>
              <w:widowControl w:val="0"/>
              <w:keepNext w:val="0"/>
              <w:keepLines w:val="0"/>
              <w:shd w:val="clear" w:color="auto" w:fill="auto"/>
              <w:bidi w:val="0"/>
              <w:jc w:val="center"/>
              <w:spacing w:before="0" w:after="0" w:line="227" w:lineRule="exact"/>
              <w:ind w:left="0" w:right="0" w:firstLine="0"/>
            </w:pPr>
            <w:r>
              <w:rPr>
                <w:rStyle w:val="CharStyle21"/>
              </w:rPr>
              <w:t>значение</w:t>
            </w:r>
          </w:p>
          <w:p>
            <w:pPr>
              <w:pStyle w:val="Style12"/>
              <w:framePr w:w="10811" w:wrap="notBeside" w:vAnchor="text" w:hAnchor="text" w:xAlign="center" w:y="1"/>
              <w:widowControl w:val="0"/>
              <w:keepNext w:val="0"/>
              <w:keepLines w:val="0"/>
              <w:shd w:val="clear" w:color="auto" w:fill="auto"/>
              <w:bidi w:val="0"/>
              <w:jc w:val="center"/>
              <w:spacing w:before="0" w:after="0" w:line="227" w:lineRule="exact"/>
              <w:ind w:left="0" w:right="0" w:firstLine="0"/>
            </w:pPr>
            <w:r>
              <w:rPr>
                <w:rStyle w:val="CharStyle20"/>
              </w:rPr>
              <w:t>показате</w:t>
            </w:r>
          </w:p>
          <w:p>
            <w:pPr>
              <w:pStyle w:val="Style12"/>
              <w:framePr w:w="10811" w:wrap="notBeside" w:vAnchor="text" w:hAnchor="text" w:xAlign="center" w:y="1"/>
              <w:widowControl w:val="0"/>
              <w:keepNext w:val="0"/>
              <w:keepLines w:val="0"/>
              <w:shd w:val="clear" w:color="auto" w:fill="auto"/>
              <w:bidi w:val="0"/>
              <w:jc w:val="center"/>
              <w:spacing w:before="0" w:after="0" w:line="227" w:lineRule="exact"/>
              <w:ind w:left="0" w:right="0" w:firstLine="0"/>
            </w:pPr>
            <w:r>
              <w:rPr>
                <w:rStyle w:val="CharStyle20"/>
              </w:rPr>
              <w:t>ля</w:t>
            </w:r>
          </w:p>
        </w:tc>
        <w:tc>
          <w:tcPr>
            <w:shd w:val="clear" w:color="auto" w:fill="FFFFFF"/>
            <w:vMerge/>
            <w:tcBorders>
              <w:left w:val="single" w:sz="4"/>
            </w:tcBorders>
            <w:vAlign w:val="center"/>
          </w:tcPr>
          <w:p>
            <w:pPr>
              <w:framePr w:w="10811" w:wrap="notBeside" w:vAnchor="text" w:hAnchor="text" w:xAlign="center" w:y="1"/>
            </w:pPr>
          </w:p>
        </w:tc>
        <w:tc>
          <w:tcPr>
            <w:shd w:val="clear" w:color="auto" w:fill="FFFFFF"/>
            <w:vMerge/>
            <w:tcBorders>
              <w:left w:val="single" w:sz="4"/>
            </w:tcBorders>
            <w:vAlign w:val="center"/>
          </w:tcPr>
          <w:p>
            <w:pPr>
              <w:framePr w:w="10811" w:wrap="notBeside" w:vAnchor="text" w:hAnchor="text" w:xAlign="center" w:y="1"/>
            </w:pPr>
          </w:p>
        </w:tc>
        <w:tc>
          <w:tcPr>
            <w:shd w:val="clear" w:color="auto" w:fill="FFFFFF"/>
            <w:vMerge/>
            <w:tcBorders>
              <w:left w:val="single" w:sz="4"/>
              <w:right w:val="single" w:sz="4"/>
            </w:tcBorders>
            <w:vAlign w:val="center"/>
          </w:tcPr>
          <w:p>
            <w:pPr>
              <w:framePr w:w="10811" w:wrap="notBeside" w:vAnchor="text" w:hAnchor="text" w:xAlign="center" w:y="1"/>
            </w:pPr>
          </w:p>
        </w:tc>
      </w:tr>
      <w:tr>
        <w:trPr>
          <w:trHeight w:val="371" w:hRule="exact"/>
        </w:trPr>
        <w:tc>
          <w:tcPr>
            <w:shd w:val="clear" w:color="auto" w:fill="FFFFFF"/>
            <w:tcBorders>
              <w:left w:val="single" w:sz="4"/>
              <w:top w:val="single" w:sz="4"/>
              <w:bottom w:val="single" w:sz="4"/>
            </w:tcBorders>
            <w:vAlign w:val="bottom"/>
          </w:tcPr>
          <w:p>
            <w:pPr>
              <w:pStyle w:val="Style12"/>
              <w:framePr w:w="10811" w:wrap="notBeside" w:vAnchor="text" w:hAnchor="text" w:xAlign="center" w:y="1"/>
              <w:widowControl w:val="0"/>
              <w:keepNext w:val="0"/>
              <w:keepLines w:val="0"/>
              <w:shd w:val="clear" w:color="auto" w:fill="auto"/>
              <w:bidi w:val="0"/>
              <w:jc w:val="left"/>
              <w:spacing w:before="0" w:after="0" w:line="180" w:lineRule="exact"/>
              <w:ind w:left="160" w:right="0" w:firstLine="0"/>
            </w:pPr>
            <w:r>
              <w:rPr>
                <w:rStyle w:val="CharStyle20"/>
              </w:rPr>
              <w:t>1</w:t>
            </w:r>
          </w:p>
        </w:tc>
        <w:tc>
          <w:tcPr>
            <w:shd w:val="clear" w:color="auto" w:fill="FFFFFF"/>
            <w:tcBorders>
              <w:left w:val="single" w:sz="4"/>
              <w:top w:val="single" w:sz="4"/>
              <w:bottom w:val="single" w:sz="4"/>
            </w:tcBorders>
            <w:vAlign w:val="center"/>
          </w:tcPr>
          <w:p>
            <w:pPr>
              <w:pStyle w:val="Style12"/>
              <w:framePr w:w="10811"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МНН</w:t>
            </w:r>
          </w:p>
        </w:tc>
        <w:tc>
          <w:tcPr>
            <w:shd w:val="clear" w:color="auto" w:fill="FFFFFF"/>
            <w:tcBorders>
              <w:left w:val="single" w:sz="4"/>
              <w:top w:val="single" w:sz="4"/>
              <w:bottom w:val="single" w:sz="4"/>
            </w:tcBorders>
            <w:vAlign w:val="center"/>
          </w:tcPr>
          <w:p>
            <w:pPr>
              <w:pStyle w:val="Style12"/>
              <w:framePr w:w="10811"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w:t>
            </w:r>
          </w:p>
        </w:tc>
        <w:tc>
          <w:tcPr>
            <w:shd w:val="clear" w:color="auto" w:fill="FFFFFF"/>
            <w:tcBorders>
              <w:left w:val="single" w:sz="4"/>
              <w:top w:val="single" w:sz="4"/>
              <w:bottom w:val="single" w:sz="4"/>
            </w:tcBorders>
            <w:vAlign w:val="center"/>
          </w:tcPr>
          <w:p>
            <w:pPr>
              <w:pStyle w:val="Style12"/>
              <w:framePr w:w="10811"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w:t>
            </w:r>
          </w:p>
        </w:tc>
        <w:tc>
          <w:tcPr>
            <w:shd w:val="clear" w:color="auto" w:fill="FFFFFF"/>
            <w:tcBorders>
              <w:left w:val="single" w:sz="4"/>
              <w:top w:val="single" w:sz="4"/>
              <w:bottom w:val="single" w:sz="4"/>
            </w:tcBorders>
            <w:vAlign w:val="center"/>
          </w:tcPr>
          <w:p>
            <w:pPr>
              <w:pStyle w:val="Style12"/>
              <w:framePr w:w="10811"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w:t>
            </w:r>
          </w:p>
        </w:tc>
        <w:tc>
          <w:tcPr>
            <w:shd w:val="clear" w:color="auto" w:fill="FFFFFF"/>
            <w:tcBorders>
              <w:left w:val="single" w:sz="4"/>
              <w:top w:val="single" w:sz="4"/>
              <w:bottom w:val="single" w:sz="4"/>
            </w:tcBorders>
            <w:vAlign w:val="center"/>
          </w:tcPr>
          <w:p>
            <w:pPr>
              <w:pStyle w:val="Style12"/>
              <w:framePr w:w="10811"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Севофлуран</w:t>
            </w:r>
          </w:p>
        </w:tc>
        <w:tc>
          <w:tcPr>
            <w:shd w:val="clear" w:color="auto" w:fill="FFFFFF"/>
            <w:tcBorders>
              <w:left w:val="single" w:sz="4"/>
              <w:top w:val="single" w:sz="4"/>
              <w:bottom w:val="single" w:sz="4"/>
            </w:tcBorders>
            <w:vAlign w:val="center"/>
          </w:tcPr>
          <w:p>
            <w:pPr>
              <w:pStyle w:val="Style12"/>
              <w:framePr w:w="10811"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мл</w:t>
            </w:r>
          </w:p>
        </w:tc>
        <w:tc>
          <w:tcPr>
            <w:shd w:val="clear" w:color="auto" w:fill="FFFFFF"/>
            <w:tcBorders>
              <w:left w:val="single" w:sz="4"/>
              <w:right w:val="single" w:sz="4"/>
              <w:top w:val="single" w:sz="4"/>
              <w:bottom w:val="single" w:sz="4"/>
            </w:tcBorders>
            <w:vAlign w:val="center"/>
          </w:tcPr>
          <w:p>
            <w:pPr>
              <w:pStyle w:val="Style12"/>
              <w:framePr w:w="10811"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25 ООО</w:t>
            </w:r>
          </w:p>
        </w:tc>
      </w:tr>
    </w:tbl>
    <w:p>
      <w:pPr>
        <w:widowControl w:val="0"/>
        <w:rPr>
          <w:sz w:val="2"/>
          <w:szCs w:val="2"/>
        </w:rPr>
      </w:pPr>
    </w:p>
    <w:tbl>
      <w:tblPr>
        <w:tblOverlap w:val="never"/>
        <w:tblLayout w:type="fixed"/>
        <w:jc w:val="center"/>
      </w:tblPr>
      <w:tblGrid>
        <w:gridCol w:w="414"/>
        <w:gridCol w:w="2455"/>
        <w:gridCol w:w="1231"/>
        <w:gridCol w:w="1184"/>
        <w:gridCol w:w="990"/>
        <w:gridCol w:w="2851"/>
        <w:gridCol w:w="853"/>
        <w:gridCol w:w="868"/>
      </w:tblGrid>
      <w:tr>
        <w:trPr>
          <w:trHeight w:val="605" w:hRule="exact"/>
        </w:trPr>
        <w:tc>
          <w:tcPr>
            <w:shd w:val="clear" w:color="auto" w:fill="FFFFFF"/>
            <w:vMerge w:val="restart"/>
            <w:tcBorders>
              <w:left w:val="single" w:sz="4"/>
              <w:top w:val="single" w:sz="4"/>
            </w:tcBorders>
            <w:vAlign w:val="top"/>
          </w:tcPr>
          <w:p>
            <w:pPr>
              <w:framePr w:w="10847"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2"/>
              <w:framePr w:w="1084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Лекарственная форма</w:t>
            </w:r>
          </w:p>
        </w:tc>
        <w:tc>
          <w:tcPr>
            <w:shd w:val="clear" w:color="auto" w:fill="FFFFFF"/>
            <w:tcBorders>
              <w:left w:val="single" w:sz="4"/>
              <w:top w:val="single" w:sz="4"/>
            </w:tcBorders>
            <w:vAlign w:val="center"/>
          </w:tcPr>
          <w:p>
            <w:pPr>
              <w:pStyle w:val="Style12"/>
              <w:framePr w:w="1084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2"/>
              </w:rPr>
              <w:t>-</w:t>
            </w:r>
          </w:p>
        </w:tc>
        <w:tc>
          <w:tcPr>
            <w:shd w:val="clear" w:color="auto" w:fill="FFFFFF"/>
            <w:tcBorders>
              <w:left w:val="single" w:sz="4"/>
              <w:top w:val="single" w:sz="4"/>
            </w:tcBorders>
            <w:vAlign w:val="center"/>
          </w:tcPr>
          <w:p>
            <w:pPr>
              <w:pStyle w:val="Style12"/>
              <w:framePr w:w="10847" w:wrap="notBeside" w:vAnchor="text" w:hAnchor="text" w:xAlign="center" w:y="1"/>
              <w:widowControl w:val="0"/>
              <w:keepNext w:val="0"/>
              <w:keepLines w:val="0"/>
              <w:shd w:val="clear" w:color="auto" w:fill="auto"/>
              <w:bidi w:val="0"/>
              <w:jc w:val="center"/>
              <w:spacing w:before="0" w:after="0" w:line="80" w:lineRule="exact"/>
              <w:ind w:left="0" w:right="0" w:firstLine="0"/>
            </w:pPr>
            <w:r>
              <w:rPr>
                <w:rStyle w:val="CharStyle23"/>
              </w:rPr>
              <w:t>-</w:t>
            </w:r>
          </w:p>
        </w:tc>
        <w:tc>
          <w:tcPr>
            <w:shd w:val="clear" w:color="auto" w:fill="FFFFFF"/>
            <w:tcBorders>
              <w:left w:val="single" w:sz="4"/>
              <w:top w:val="single" w:sz="4"/>
            </w:tcBorders>
            <w:vAlign w:val="center"/>
          </w:tcPr>
          <w:p>
            <w:pPr>
              <w:pStyle w:val="Style12"/>
              <w:framePr w:w="10847" w:wrap="notBeside" w:vAnchor="text" w:hAnchor="text" w:xAlign="center" w:y="1"/>
              <w:widowControl w:val="0"/>
              <w:keepNext w:val="0"/>
              <w:keepLines w:val="0"/>
              <w:shd w:val="clear" w:color="auto" w:fill="auto"/>
              <w:bidi w:val="0"/>
              <w:jc w:val="center"/>
              <w:spacing w:before="0" w:after="0" w:line="80" w:lineRule="exact"/>
              <w:ind w:left="0" w:right="0" w:firstLine="0"/>
            </w:pPr>
            <w:r>
              <w:rPr>
                <w:rStyle w:val="CharStyle23"/>
              </w:rPr>
              <w:t>-</w:t>
            </w:r>
          </w:p>
        </w:tc>
        <w:tc>
          <w:tcPr>
            <w:shd w:val="clear" w:color="auto" w:fill="FFFFFF"/>
            <w:tcBorders>
              <w:left w:val="single" w:sz="4"/>
              <w:top w:val="single" w:sz="4"/>
            </w:tcBorders>
            <w:vAlign w:val="center"/>
          </w:tcPr>
          <w:p>
            <w:pPr>
              <w:pStyle w:val="Style12"/>
              <w:framePr w:w="1084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Жидкость для ингаляций</w:t>
            </w:r>
          </w:p>
        </w:tc>
        <w:tc>
          <w:tcPr>
            <w:shd w:val="clear" w:color="auto" w:fill="FFFFFF"/>
            <w:vMerge w:val="restart"/>
            <w:tcBorders>
              <w:left w:val="single" w:sz="4"/>
              <w:top w:val="single" w:sz="4"/>
            </w:tcBorders>
            <w:vAlign w:val="top"/>
          </w:tcPr>
          <w:p>
            <w:pPr>
              <w:framePr w:w="10847" w:wrap="notBeside" w:vAnchor="text" w:hAnchor="text" w:xAlign="center" w:y="1"/>
              <w:widowControl w:val="0"/>
              <w:rPr>
                <w:sz w:val="10"/>
                <w:szCs w:val="10"/>
              </w:rPr>
            </w:pPr>
          </w:p>
        </w:tc>
        <w:tc>
          <w:tcPr>
            <w:shd w:val="clear" w:color="auto" w:fill="FFFFFF"/>
            <w:vMerge w:val="restart"/>
            <w:tcBorders>
              <w:left w:val="single" w:sz="4"/>
              <w:right w:val="single" w:sz="4"/>
              <w:top w:val="single" w:sz="4"/>
            </w:tcBorders>
            <w:vAlign w:val="top"/>
          </w:tcPr>
          <w:p>
            <w:pPr>
              <w:framePr w:w="10847" w:wrap="notBeside" w:vAnchor="text" w:hAnchor="text" w:xAlign="center" w:y="1"/>
              <w:widowControl w:val="0"/>
              <w:rPr>
                <w:sz w:val="10"/>
                <w:szCs w:val="10"/>
              </w:rPr>
            </w:pPr>
          </w:p>
        </w:tc>
      </w:tr>
      <w:tr>
        <w:trPr>
          <w:trHeight w:val="680" w:hRule="exact"/>
        </w:trPr>
        <w:tc>
          <w:tcPr>
            <w:shd w:val="clear" w:color="auto" w:fill="FFFFFF"/>
            <w:vMerge/>
            <w:tcBorders>
              <w:left w:val="single" w:sz="4"/>
            </w:tcBorders>
            <w:vAlign w:val="top"/>
          </w:tcPr>
          <w:p>
            <w:pPr>
              <w:framePr w:w="10847" w:wrap="notBeside" w:vAnchor="text" w:hAnchor="text" w:xAlign="center" w:y="1"/>
            </w:pPr>
          </w:p>
        </w:tc>
        <w:tc>
          <w:tcPr>
            <w:shd w:val="clear" w:color="auto" w:fill="FFFFFF"/>
            <w:tcBorders>
              <w:left w:val="single" w:sz="4"/>
              <w:top w:val="single" w:sz="4"/>
            </w:tcBorders>
            <w:vAlign w:val="center"/>
          </w:tcPr>
          <w:p>
            <w:pPr>
              <w:pStyle w:val="Style12"/>
              <w:framePr w:w="1084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2"/>
              </w:rPr>
              <w:t>Первичная упаковка*</w:t>
            </w:r>
          </w:p>
        </w:tc>
        <w:tc>
          <w:tcPr>
            <w:shd w:val="clear" w:color="auto" w:fill="FFFFFF"/>
            <w:tcBorders>
              <w:left w:val="single" w:sz="4"/>
              <w:top w:val="single" w:sz="4"/>
            </w:tcBorders>
            <w:vAlign w:val="center"/>
          </w:tcPr>
          <w:p>
            <w:pPr>
              <w:pStyle w:val="Style12"/>
              <w:framePr w:w="1084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2"/>
              </w:rPr>
              <w:t>-</w:t>
            </w:r>
          </w:p>
        </w:tc>
        <w:tc>
          <w:tcPr>
            <w:shd w:val="clear" w:color="auto" w:fill="FFFFFF"/>
            <w:tcBorders>
              <w:left w:val="single" w:sz="4"/>
              <w:top w:val="single" w:sz="4"/>
            </w:tcBorders>
            <w:vAlign w:val="center"/>
          </w:tcPr>
          <w:p>
            <w:pPr>
              <w:pStyle w:val="Style12"/>
              <w:framePr w:w="10847" w:wrap="notBeside" w:vAnchor="text" w:hAnchor="text" w:xAlign="center" w:y="1"/>
              <w:widowControl w:val="0"/>
              <w:keepNext w:val="0"/>
              <w:keepLines w:val="0"/>
              <w:shd w:val="clear" w:color="auto" w:fill="auto"/>
              <w:bidi w:val="0"/>
              <w:jc w:val="center"/>
              <w:spacing w:before="0" w:after="0" w:line="80" w:lineRule="exact"/>
              <w:ind w:left="0" w:right="0" w:firstLine="0"/>
            </w:pPr>
            <w:r>
              <w:rPr>
                <w:rStyle w:val="CharStyle23"/>
              </w:rPr>
              <w:t>-</w:t>
            </w:r>
          </w:p>
        </w:tc>
        <w:tc>
          <w:tcPr>
            <w:shd w:val="clear" w:color="auto" w:fill="FFFFFF"/>
            <w:tcBorders>
              <w:left w:val="single" w:sz="4"/>
              <w:top w:val="single" w:sz="4"/>
            </w:tcBorders>
            <w:vAlign w:val="center"/>
          </w:tcPr>
          <w:p>
            <w:pPr>
              <w:pStyle w:val="Style12"/>
              <w:framePr w:w="10847" w:wrap="notBeside" w:vAnchor="text" w:hAnchor="text" w:xAlign="center" w:y="1"/>
              <w:widowControl w:val="0"/>
              <w:keepNext w:val="0"/>
              <w:keepLines w:val="0"/>
              <w:shd w:val="clear" w:color="auto" w:fill="auto"/>
              <w:bidi w:val="0"/>
              <w:jc w:val="center"/>
              <w:spacing w:before="0" w:after="0" w:line="80" w:lineRule="exact"/>
              <w:ind w:left="0" w:right="0" w:firstLine="0"/>
            </w:pPr>
            <w:r>
              <w:rPr>
                <w:rStyle w:val="CharStyle23"/>
              </w:rPr>
              <w:t>-</w:t>
            </w:r>
          </w:p>
        </w:tc>
        <w:tc>
          <w:tcPr>
            <w:shd w:val="clear" w:color="auto" w:fill="FFFFFF"/>
            <w:tcBorders>
              <w:left w:val="single" w:sz="4"/>
              <w:top w:val="single" w:sz="4"/>
            </w:tcBorders>
            <w:vAlign w:val="bottom"/>
          </w:tcPr>
          <w:p>
            <w:pPr>
              <w:pStyle w:val="Style12"/>
              <w:framePr w:w="10847"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4"/>
              </w:rPr>
              <w:t xml:space="preserve">Флаконы, оснащенные </w:t>
            </w:r>
            <w:r>
              <w:rPr>
                <w:rStyle w:val="CharStyle22"/>
              </w:rPr>
              <w:t xml:space="preserve">специальной укупорочной системой </w:t>
            </w:r>
            <w:r>
              <w:rPr>
                <w:rStyle w:val="CharStyle22"/>
                <w:lang w:val="en-US" w:eastAsia="en-US" w:bidi="en-US"/>
              </w:rPr>
              <w:t>Quik-fil</w:t>
            </w:r>
          </w:p>
        </w:tc>
        <w:tc>
          <w:tcPr>
            <w:shd w:val="clear" w:color="auto" w:fill="FFFFFF"/>
            <w:vMerge/>
            <w:tcBorders>
              <w:left w:val="single" w:sz="4"/>
            </w:tcBorders>
            <w:vAlign w:val="top"/>
          </w:tcPr>
          <w:p>
            <w:pPr>
              <w:framePr w:w="10847" w:wrap="notBeside" w:vAnchor="text" w:hAnchor="text" w:xAlign="center" w:y="1"/>
            </w:pPr>
          </w:p>
        </w:tc>
        <w:tc>
          <w:tcPr>
            <w:shd w:val="clear" w:color="auto" w:fill="FFFFFF"/>
            <w:vMerge/>
            <w:tcBorders>
              <w:left w:val="single" w:sz="4"/>
              <w:right w:val="single" w:sz="4"/>
            </w:tcBorders>
            <w:vAlign w:val="top"/>
          </w:tcPr>
          <w:p>
            <w:pPr>
              <w:framePr w:w="10847" w:wrap="notBeside" w:vAnchor="text" w:hAnchor="text" w:xAlign="center" w:y="1"/>
            </w:pPr>
          </w:p>
        </w:tc>
      </w:tr>
      <w:tr>
        <w:trPr>
          <w:trHeight w:val="551" w:hRule="exact"/>
        </w:trPr>
        <w:tc>
          <w:tcPr>
            <w:shd w:val="clear" w:color="auto" w:fill="FFFFFF"/>
            <w:vMerge/>
            <w:tcBorders>
              <w:left w:val="single" w:sz="4"/>
              <w:bottom w:val="single" w:sz="4"/>
            </w:tcBorders>
            <w:vAlign w:val="top"/>
          </w:tcPr>
          <w:p>
            <w:pPr>
              <w:framePr w:w="10847" w:wrap="notBeside" w:vAnchor="text" w:hAnchor="text" w:xAlign="center" w:y="1"/>
            </w:pPr>
          </w:p>
        </w:tc>
        <w:tc>
          <w:tcPr>
            <w:shd w:val="clear" w:color="auto" w:fill="FFFFFF"/>
            <w:tcBorders>
              <w:left w:val="single" w:sz="4"/>
              <w:top w:val="single" w:sz="4"/>
              <w:bottom w:val="single" w:sz="4"/>
            </w:tcBorders>
            <w:vAlign w:val="bottom"/>
          </w:tcPr>
          <w:p>
            <w:pPr>
              <w:pStyle w:val="Style12"/>
              <w:framePr w:w="10847" w:wrap="notBeside" w:vAnchor="text" w:hAnchor="text" w:xAlign="center" w:y="1"/>
              <w:widowControl w:val="0"/>
              <w:keepNext w:val="0"/>
              <w:keepLines w:val="0"/>
              <w:shd w:val="clear" w:color="auto" w:fill="auto"/>
              <w:bidi w:val="0"/>
              <w:jc w:val="center"/>
              <w:spacing w:before="0" w:after="0" w:line="256" w:lineRule="exact"/>
              <w:ind w:left="0" w:right="0" w:firstLine="0"/>
            </w:pPr>
            <w:r>
              <w:rPr>
                <w:rStyle w:val="CharStyle22"/>
              </w:rPr>
              <w:t>Количество в первичной упаковке</w:t>
            </w:r>
            <w:r>
              <w:rPr>
                <w:rStyle w:val="CharStyle22"/>
              </w:rPr>
              <w:footnoteReference w:id="2"/>
            </w:r>
          </w:p>
        </w:tc>
        <w:tc>
          <w:tcPr>
            <w:shd w:val="clear" w:color="auto" w:fill="FFFFFF"/>
            <w:tcBorders>
              <w:left w:val="single" w:sz="4"/>
              <w:top w:val="single" w:sz="4"/>
              <w:bottom w:val="single" w:sz="4"/>
            </w:tcBorders>
            <w:vAlign w:val="center"/>
          </w:tcPr>
          <w:p>
            <w:pPr>
              <w:pStyle w:val="Style12"/>
              <w:framePr w:w="1084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4"/>
              </w:rPr>
              <w:t>мл</w:t>
            </w:r>
          </w:p>
        </w:tc>
        <w:tc>
          <w:tcPr>
            <w:shd w:val="clear" w:color="auto" w:fill="FFFFFF"/>
            <w:tcBorders>
              <w:left w:val="single" w:sz="4"/>
              <w:top w:val="single" w:sz="4"/>
              <w:bottom w:val="single" w:sz="4"/>
            </w:tcBorders>
            <w:vAlign w:val="center"/>
          </w:tcPr>
          <w:p>
            <w:pPr>
              <w:pStyle w:val="Style12"/>
              <w:framePr w:w="10847" w:wrap="notBeside" w:vAnchor="text" w:hAnchor="text" w:xAlign="center" w:y="1"/>
              <w:widowControl w:val="0"/>
              <w:keepNext w:val="0"/>
              <w:keepLines w:val="0"/>
              <w:shd w:val="clear" w:color="auto" w:fill="auto"/>
              <w:bidi w:val="0"/>
              <w:jc w:val="center"/>
              <w:spacing w:before="0" w:after="0" w:line="80" w:lineRule="exact"/>
              <w:ind w:left="0" w:right="0" w:firstLine="0"/>
            </w:pPr>
            <w:r>
              <w:rPr>
                <w:rStyle w:val="CharStyle23"/>
              </w:rPr>
              <w:t>-</w:t>
            </w:r>
          </w:p>
        </w:tc>
        <w:tc>
          <w:tcPr>
            <w:shd w:val="clear" w:color="auto" w:fill="FFFFFF"/>
            <w:tcBorders>
              <w:left w:val="single" w:sz="4"/>
              <w:top w:val="single" w:sz="4"/>
              <w:bottom w:val="single" w:sz="4"/>
            </w:tcBorders>
            <w:vAlign w:val="center"/>
          </w:tcPr>
          <w:p>
            <w:pPr>
              <w:pStyle w:val="Style12"/>
              <w:framePr w:w="10847" w:wrap="notBeside" w:vAnchor="text" w:hAnchor="text" w:xAlign="center" w:y="1"/>
              <w:widowControl w:val="0"/>
              <w:keepNext w:val="0"/>
              <w:keepLines w:val="0"/>
              <w:shd w:val="clear" w:color="auto" w:fill="auto"/>
              <w:bidi w:val="0"/>
              <w:jc w:val="center"/>
              <w:spacing w:before="0" w:after="0" w:line="80" w:lineRule="exact"/>
              <w:ind w:left="0" w:right="0" w:firstLine="0"/>
            </w:pPr>
            <w:r>
              <w:rPr>
                <w:rStyle w:val="CharStyle23"/>
              </w:rPr>
              <w:t>-</w:t>
            </w:r>
          </w:p>
        </w:tc>
        <w:tc>
          <w:tcPr>
            <w:shd w:val="clear" w:color="auto" w:fill="FFFFFF"/>
            <w:tcBorders>
              <w:left w:val="single" w:sz="4"/>
              <w:top w:val="single" w:sz="4"/>
              <w:bottom w:val="single" w:sz="4"/>
            </w:tcBorders>
            <w:vAlign w:val="center"/>
          </w:tcPr>
          <w:p>
            <w:pPr>
              <w:pStyle w:val="Style12"/>
              <w:framePr w:w="1084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4"/>
              </w:rPr>
              <w:t>250</w:t>
            </w:r>
          </w:p>
        </w:tc>
        <w:tc>
          <w:tcPr>
            <w:shd w:val="clear" w:color="auto" w:fill="FFFFFF"/>
            <w:vMerge/>
            <w:tcBorders>
              <w:left w:val="single" w:sz="4"/>
              <w:bottom w:val="single" w:sz="4"/>
            </w:tcBorders>
            <w:vAlign w:val="top"/>
          </w:tcPr>
          <w:p>
            <w:pPr>
              <w:framePr w:w="10847" w:wrap="notBeside" w:vAnchor="text" w:hAnchor="text" w:xAlign="center" w:y="1"/>
            </w:pPr>
          </w:p>
        </w:tc>
        <w:tc>
          <w:tcPr>
            <w:shd w:val="clear" w:color="auto" w:fill="FFFFFF"/>
            <w:vMerge/>
            <w:tcBorders>
              <w:left w:val="single" w:sz="4"/>
              <w:right w:val="single" w:sz="4"/>
              <w:bottom w:val="single" w:sz="4"/>
            </w:tcBorders>
            <w:vAlign w:val="top"/>
          </w:tcPr>
          <w:p>
            <w:pPr>
              <w:framePr w:w="10847" w:wrap="notBeside" w:vAnchor="text" w:hAnchor="text" w:xAlign="center" w:y="1"/>
            </w:pPr>
          </w:p>
        </w:tc>
      </w:tr>
    </w:tbl>
    <w:p>
      <w:pPr>
        <w:widowControl w:val="0"/>
        <w:rPr>
          <w:sz w:val="2"/>
          <w:szCs w:val="2"/>
        </w:rPr>
      </w:pPr>
    </w:p>
    <w:p>
      <w:pPr>
        <w:pStyle w:val="Style25"/>
        <w:widowControl w:val="0"/>
        <w:keepNext w:val="0"/>
        <w:keepLines w:val="0"/>
        <w:shd w:val="clear" w:color="auto" w:fill="auto"/>
        <w:bidi w:val="0"/>
        <w:spacing w:before="128" w:after="0"/>
        <w:ind w:left="720" w:right="20" w:firstLine="0"/>
      </w:pPr>
      <w:r>
        <w:rPr>
          <w:lang w:val="ru-RU" w:eastAsia="ru-RU" w:bidi="ru-RU"/>
          <w:w w:val="100"/>
          <w:spacing w:val="0"/>
          <w:color w:val="000000"/>
          <w:position w:val="0"/>
        </w:rPr>
        <w:t xml:space="preserve">* Обоснование показателя «Первичная упаковка», значение показателя «Флаконы, оснащенные специальной укупорочной системой </w:t>
      </w:r>
      <w:r>
        <w:rPr>
          <w:lang w:val="en-US" w:eastAsia="en-US" w:bidi="en-US"/>
          <w:w w:val="100"/>
          <w:spacing w:val="0"/>
          <w:color w:val="000000"/>
          <w:position w:val="0"/>
        </w:rPr>
        <w:t>Quik-fil»:</w:t>
      </w:r>
    </w:p>
    <w:p>
      <w:pPr>
        <w:pStyle w:val="Style27"/>
        <w:widowControl w:val="0"/>
        <w:keepNext w:val="0"/>
        <w:keepLines w:val="0"/>
        <w:shd w:val="clear" w:color="auto" w:fill="auto"/>
        <w:bidi w:val="0"/>
        <w:spacing w:before="0" w:after="0"/>
        <w:ind w:left="720" w:right="20"/>
      </w:pPr>
      <w:r>
        <w:rPr>
          <w:lang w:val="ru-RU" w:eastAsia="ru-RU" w:bidi="ru-RU"/>
          <w:w w:val="100"/>
          <w:spacing w:val="0"/>
          <w:color w:val="000000"/>
          <w:position w:val="0"/>
        </w:rPr>
        <w:t xml:space="preserve">Флакон должен иметь специальную укупорочную систему типа </w:t>
      </w:r>
      <w:r>
        <w:rPr>
          <w:lang w:val="en-US" w:eastAsia="en-US" w:bidi="en-US"/>
          <w:w w:val="100"/>
          <w:spacing w:val="0"/>
          <w:color w:val="000000"/>
          <w:position w:val="0"/>
        </w:rPr>
        <w:t xml:space="preserve">Quik-fil, </w:t>
      </w:r>
      <w:r>
        <w:rPr>
          <w:lang w:val="ru-RU" w:eastAsia="ru-RU" w:bidi="ru-RU"/>
          <w:w w:val="100"/>
          <w:spacing w:val="0"/>
          <w:color w:val="000000"/>
          <w:position w:val="0"/>
        </w:rPr>
        <w:t>подходящую к наркозно-дыхательному оборудованию, имеющемуся у заказчика, и образующую с ним закрытую систему, а также обеспечивающую одномоментное, с полностью закрытой системой, заполнение испарителя без применения дополнительного оборудования либо расходных материалов и без соблюдения дополнительных условий заполнения, требуемых для обеспечения безопасности пациента и персонала.</w:t>
      </w:r>
    </w:p>
    <w:p>
      <w:pPr>
        <w:pStyle w:val="Style29"/>
        <w:widowControl w:val="0"/>
        <w:keepNext w:val="0"/>
        <w:keepLines w:val="0"/>
        <w:shd w:val="clear" w:color="auto" w:fill="auto"/>
        <w:bidi w:val="0"/>
        <w:spacing w:before="0" w:after="0"/>
        <w:ind w:left="720" w:right="20" w:firstLine="600"/>
      </w:pPr>
      <w:r>
        <w:rPr>
          <w:lang w:val="ru-RU" w:eastAsia="ru-RU" w:bidi="ru-RU"/>
          <w:sz w:val="24"/>
          <w:szCs w:val="24"/>
          <w:w w:val="100"/>
          <w:spacing w:val="0"/>
          <w:color w:val="000000"/>
          <w:position w:val="0"/>
        </w:rPr>
        <w:t xml:space="preserve">Заказчик использует наркозно-дыхательные аппараты, укомплектованные испарителями </w:t>
      </w:r>
      <w:r>
        <w:rPr>
          <w:lang w:val="en-US" w:eastAsia="en-US" w:bidi="en-US"/>
          <w:sz w:val="24"/>
          <w:szCs w:val="24"/>
          <w:w w:val="100"/>
          <w:spacing w:val="0"/>
          <w:color w:val="000000"/>
          <w:position w:val="0"/>
        </w:rPr>
        <w:t xml:space="preserve">Drager Vapor </w:t>
      </w:r>
      <w:r>
        <w:rPr>
          <w:lang w:val="ru-RU" w:eastAsia="ru-RU" w:bidi="ru-RU"/>
          <w:sz w:val="24"/>
          <w:szCs w:val="24"/>
          <w:w w:val="100"/>
          <w:spacing w:val="0"/>
          <w:color w:val="000000"/>
          <w:position w:val="0"/>
        </w:rPr>
        <w:t xml:space="preserve">2000 с типом заливочного устройства </w:t>
      </w:r>
      <w:r>
        <w:rPr>
          <w:lang w:val="en-US" w:eastAsia="en-US" w:bidi="en-US"/>
          <w:sz w:val="24"/>
          <w:szCs w:val="24"/>
          <w:w w:val="100"/>
          <w:spacing w:val="0"/>
          <w:color w:val="000000"/>
          <w:position w:val="0"/>
        </w:rPr>
        <w:t>Quik-fil.</w:t>
      </w:r>
    </w:p>
    <w:p>
      <w:pPr>
        <w:pStyle w:val="Style29"/>
        <w:widowControl w:val="0"/>
        <w:keepNext w:val="0"/>
        <w:keepLines w:val="0"/>
        <w:shd w:val="clear" w:color="auto" w:fill="auto"/>
        <w:bidi w:val="0"/>
        <w:spacing w:before="0" w:after="0"/>
        <w:ind w:left="720" w:right="20" w:firstLine="600"/>
      </w:pPr>
      <w:r>
        <w:rPr>
          <w:lang w:val="ru-RU" w:eastAsia="ru-RU" w:bidi="ru-RU"/>
          <w:sz w:val="24"/>
          <w:szCs w:val="24"/>
          <w:w w:val="100"/>
          <w:spacing w:val="0"/>
          <w:color w:val="000000"/>
          <w:position w:val="0"/>
        </w:rPr>
        <w:t xml:space="preserve">Требование к оснащению флаконов специальной укупорочной системой </w:t>
      </w:r>
      <w:r>
        <w:rPr>
          <w:lang w:val="en-US" w:eastAsia="en-US" w:bidi="en-US"/>
          <w:sz w:val="24"/>
          <w:szCs w:val="24"/>
          <w:w w:val="100"/>
          <w:spacing w:val="0"/>
          <w:color w:val="000000"/>
          <w:position w:val="0"/>
        </w:rPr>
        <w:t xml:space="preserve">Quik-fil </w:t>
      </w:r>
      <w:r>
        <w:rPr>
          <w:lang w:val="ru-RU" w:eastAsia="ru-RU" w:bidi="ru-RU"/>
          <w:sz w:val="24"/>
          <w:szCs w:val="24"/>
          <w:w w:val="100"/>
          <w:spacing w:val="0"/>
          <w:color w:val="000000"/>
          <w:position w:val="0"/>
        </w:rPr>
        <w:t xml:space="preserve">обусловлено необходимостью обеспечения взаимодействия закупаемого товара с используемыми Заказчиком испарителями наркозно-дыхательных аппаратов с заправочной системой </w:t>
      </w:r>
      <w:r>
        <w:rPr>
          <w:lang w:val="en-US" w:eastAsia="en-US" w:bidi="en-US"/>
          <w:sz w:val="24"/>
          <w:szCs w:val="24"/>
          <w:w w:val="100"/>
          <w:spacing w:val="0"/>
          <w:color w:val="000000"/>
          <w:position w:val="0"/>
        </w:rPr>
        <w:t xml:space="preserve">Quik-fil </w:t>
      </w:r>
      <w:r>
        <w:rPr>
          <w:lang w:val="ru-RU" w:eastAsia="ru-RU" w:bidi="ru-RU"/>
          <w:sz w:val="24"/>
          <w:szCs w:val="24"/>
          <w:w w:val="100"/>
          <w:spacing w:val="0"/>
          <w:color w:val="000000"/>
          <w:position w:val="0"/>
        </w:rPr>
        <w:t xml:space="preserve">и сливным устройством </w:t>
      </w:r>
      <w:r>
        <w:rPr>
          <w:lang w:val="en-US" w:eastAsia="en-US" w:bidi="en-US"/>
          <w:sz w:val="24"/>
          <w:szCs w:val="24"/>
          <w:w w:val="100"/>
          <w:spacing w:val="0"/>
          <w:color w:val="000000"/>
          <w:position w:val="0"/>
        </w:rPr>
        <w:t xml:space="preserve">Quik-fil drain funnel </w:t>
      </w:r>
      <w:r>
        <w:rPr>
          <w:lang w:val="ru-RU" w:eastAsia="ru-RU" w:bidi="ru-RU"/>
          <w:sz w:val="24"/>
          <w:szCs w:val="24"/>
          <w:w w:val="100"/>
          <w:spacing w:val="0"/>
          <w:color w:val="000000"/>
          <w:position w:val="0"/>
        </w:rPr>
        <w:t xml:space="preserve">(согласно руководству по эксплуатации испарителей). Использование Заказчиком флаконов лекарственного препарата, оснащенных укупорочной системой с клапаном и пружинным возвратом, обусловлено наличием специального устройства системы, которая защищает медицинский персонал, не допуская контакта сотрудников, находящихся в операционной, с жидкостью Севофлуран, исключает переливание жидкости из флакона и не требует дополнительного оборудования помещения (например, вытяжные шкафы и прочие). В соответствии с рекомендацией производителя наркозно-дыхательных аппаратов испарители предназначены для использования только с флаконами со встроенными адаптерами </w:t>
      </w:r>
      <w:r>
        <w:rPr>
          <w:lang w:val="en-US" w:eastAsia="en-US" w:bidi="en-US"/>
          <w:sz w:val="24"/>
          <w:szCs w:val="24"/>
          <w:w w:val="100"/>
          <w:spacing w:val="0"/>
          <w:color w:val="000000"/>
          <w:position w:val="0"/>
        </w:rPr>
        <w:t xml:space="preserve">Quik-fil </w:t>
      </w:r>
      <w:r>
        <w:rPr>
          <w:lang w:val="ru-RU" w:eastAsia="ru-RU" w:bidi="ru-RU"/>
          <w:sz w:val="24"/>
          <w:szCs w:val="24"/>
          <w:w w:val="100"/>
          <w:spacing w:val="0"/>
          <w:color w:val="000000"/>
          <w:position w:val="0"/>
        </w:rPr>
        <w:t xml:space="preserve">или с адаптерами типа </w:t>
      </w:r>
      <w:r>
        <w:rPr>
          <w:lang w:val="en-US" w:eastAsia="en-US" w:bidi="en-US"/>
          <w:sz w:val="24"/>
          <w:szCs w:val="24"/>
          <w:w w:val="100"/>
          <w:spacing w:val="0"/>
          <w:color w:val="000000"/>
          <w:position w:val="0"/>
        </w:rPr>
        <w:t xml:space="preserve">Quik-fil, </w:t>
      </w:r>
      <w:r>
        <w:rPr>
          <w:lang w:val="ru-RU" w:eastAsia="ru-RU" w:bidi="ru-RU"/>
          <w:sz w:val="24"/>
          <w:szCs w:val="24"/>
          <w:w w:val="100"/>
          <w:spacing w:val="0"/>
          <w:color w:val="000000"/>
          <w:position w:val="0"/>
        </w:rPr>
        <w:t>подходящих для заправки и слива анестетика, так как использование других, не предусмотренных инструкцией приспособлений, могут привести к повреждению клапана системы заполнения и создать опасность, как для медицинского персонала, приводя к значительному повышению концентрации севофлурана в атмосферном воздухе операционной, так и для пациента, т.к. может нарушиться система дозирования севофлурана.</w:t>
      </w:r>
    </w:p>
    <w:p>
      <w:pPr>
        <w:pStyle w:val="Style29"/>
        <w:widowControl w:val="0"/>
        <w:keepNext w:val="0"/>
        <w:keepLines w:val="0"/>
        <w:shd w:val="clear" w:color="auto" w:fill="auto"/>
        <w:bidi w:val="0"/>
        <w:spacing w:before="0" w:after="0"/>
        <w:ind w:left="720" w:right="20" w:firstLine="600"/>
      </w:pPr>
      <w:r>
        <w:rPr>
          <w:lang w:val="ru-RU" w:eastAsia="ru-RU" w:bidi="ru-RU"/>
          <w:sz w:val="24"/>
          <w:szCs w:val="24"/>
          <w:w w:val="100"/>
          <w:spacing w:val="0"/>
          <w:color w:val="000000"/>
          <w:position w:val="0"/>
        </w:rPr>
        <w:t xml:space="preserve">Возможна поставка лекарственного препарата с условием безвозмездной передачи заказчику соответствующих адаптеров, обеспечивающих работоспособность имеющегося </w:t>
      </w:r>
      <w:r>
        <w:rPr>
          <w:rStyle w:val="CharStyle31"/>
          <w:i/>
          <w:iCs/>
        </w:rPr>
        <w:t xml:space="preserve">у заказчика оборудования. Поставщик декларирует совместимость адаптеров с флаконом, а </w:t>
      </w:r>
      <w:r>
        <w:rPr>
          <w:lang w:val="ru-RU" w:eastAsia="ru-RU" w:bidi="ru-RU"/>
          <w:sz w:val="24"/>
          <w:szCs w:val="24"/>
          <w:w w:val="100"/>
          <w:spacing w:val="0"/>
          <w:color w:val="000000"/>
          <w:position w:val="0"/>
        </w:rPr>
        <w:t xml:space="preserve">также с используемыми Заказчиком испарителями наркозно-дыхательных аппаратов (с заправочной системой </w:t>
      </w:r>
      <w:r>
        <w:rPr>
          <w:lang w:val="en-US" w:eastAsia="en-US" w:bidi="en-US"/>
          <w:sz w:val="24"/>
          <w:szCs w:val="24"/>
          <w:w w:val="100"/>
          <w:spacing w:val="0"/>
          <w:color w:val="000000"/>
          <w:position w:val="0"/>
        </w:rPr>
        <w:t xml:space="preserve">Quik-fil </w:t>
      </w:r>
      <w:r>
        <w:rPr>
          <w:lang w:val="ru-RU" w:eastAsia="ru-RU" w:bidi="ru-RU"/>
          <w:sz w:val="24"/>
          <w:szCs w:val="24"/>
          <w:w w:val="100"/>
          <w:spacing w:val="0"/>
          <w:color w:val="000000"/>
          <w:position w:val="0"/>
        </w:rPr>
        <w:t xml:space="preserve">и сливным устройством </w:t>
      </w:r>
      <w:r>
        <w:rPr>
          <w:lang w:val="en-US" w:eastAsia="en-US" w:bidi="en-US"/>
          <w:sz w:val="24"/>
          <w:szCs w:val="24"/>
          <w:w w:val="100"/>
          <w:spacing w:val="0"/>
          <w:color w:val="000000"/>
          <w:position w:val="0"/>
        </w:rPr>
        <w:t xml:space="preserve">Quik-fil drain funnel), </w:t>
      </w:r>
      <w:r>
        <w:rPr>
          <w:lang w:val="ru-RU" w:eastAsia="ru-RU" w:bidi="ru-RU"/>
          <w:sz w:val="24"/>
          <w:szCs w:val="24"/>
          <w:w w:val="100"/>
          <w:spacing w:val="0"/>
          <w:color w:val="000000"/>
          <w:position w:val="0"/>
        </w:rPr>
        <w:t>которая проверяется заказчиком при поставке лекарственного препарата, что подтверждается Регистрационным удостоверением Министерства здравоохранения или Федеральной службы по надзору в сфере здравоохранения и социального развития, копия которого должна предоставляться в составе второй части заявки. Адаптеры передаются заказчику в количестве не менее количества флаконов при каждой поставке. Адаптеры поставляются в оригинальной заводской упаковке, позволяющей их идентифицировать.</w:t>
      </w:r>
    </w:p>
    <w:p>
      <w:pPr>
        <w:pStyle w:val="Style29"/>
        <w:widowControl w:val="0"/>
        <w:keepNext w:val="0"/>
        <w:keepLines w:val="0"/>
        <w:shd w:val="clear" w:color="auto" w:fill="auto"/>
        <w:bidi w:val="0"/>
        <w:spacing w:before="0" w:after="0" w:line="295" w:lineRule="exact"/>
        <w:ind w:left="160" w:right="20" w:firstLine="0"/>
      </w:pPr>
      <w:r>
        <w:rPr>
          <w:rStyle w:val="CharStyle32"/>
          <w:i w:val="0"/>
          <w:iCs w:val="0"/>
        </w:rPr>
        <w:t xml:space="preserve">В аукционной документации заказчиком установлено требование к первичной упаковке лекарственного препарата с МНН «Севофлуран» - флаконы, оснащенные специальной укупорочной системой </w:t>
      </w:r>
      <w:r>
        <w:rPr>
          <w:rStyle w:val="CharStyle32"/>
          <w:lang w:val="en-US" w:eastAsia="en-US" w:bidi="en-US"/>
          <w:i w:val="0"/>
          <w:iCs w:val="0"/>
        </w:rPr>
        <w:t xml:space="preserve">Quik-fil. </w:t>
      </w:r>
      <w:r>
        <w:rPr>
          <w:rStyle w:val="CharStyle32"/>
          <w:i w:val="0"/>
          <w:iCs w:val="0"/>
        </w:rPr>
        <w:t xml:space="preserve">В качестве обоснования необходимости указания такого требования приведено следующее: </w:t>
      </w:r>
      <w:r>
        <w:rPr>
          <w:lang w:val="ru-RU" w:eastAsia="ru-RU" w:bidi="ru-RU"/>
          <w:sz w:val="24"/>
          <w:szCs w:val="24"/>
          <w:w w:val="100"/>
          <w:spacing w:val="0"/>
          <w:color w:val="000000"/>
          <w:position w:val="0"/>
        </w:rPr>
        <w:t xml:space="preserve">требование к оснащению флаконов специальной укупорочной системой </w:t>
      </w:r>
      <w:r>
        <w:rPr>
          <w:lang w:val="en-US" w:eastAsia="en-US" w:bidi="en-US"/>
          <w:sz w:val="24"/>
          <w:szCs w:val="24"/>
          <w:w w:val="100"/>
          <w:spacing w:val="0"/>
          <w:color w:val="000000"/>
          <w:position w:val="0"/>
        </w:rPr>
        <w:t xml:space="preserve">Quik-fil </w:t>
      </w:r>
      <w:r>
        <w:rPr>
          <w:lang w:val="ru-RU" w:eastAsia="ru-RU" w:bidi="ru-RU"/>
          <w:sz w:val="24"/>
          <w:szCs w:val="24"/>
          <w:w w:val="100"/>
          <w:spacing w:val="0"/>
          <w:color w:val="000000"/>
          <w:position w:val="0"/>
        </w:rPr>
        <w:t xml:space="preserve">обусловлено необходимостью обеспечения взаимодействия закупаемого товара с используемыми Заказчиком испарителями наркозно-дыхательных аппаратов с заправочной системой </w:t>
      </w:r>
      <w:r>
        <w:rPr>
          <w:lang w:val="en-US" w:eastAsia="en-US" w:bidi="en-US"/>
          <w:sz w:val="24"/>
          <w:szCs w:val="24"/>
          <w:w w:val="100"/>
          <w:spacing w:val="0"/>
          <w:color w:val="000000"/>
          <w:position w:val="0"/>
        </w:rPr>
        <w:t xml:space="preserve">Quik-fil </w:t>
      </w:r>
      <w:r>
        <w:rPr>
          <w:lang w:val="ru-RU" w:eastAsia="ru-RU" w:bidi="ru-RU"/>
          <w:sz w:val="24"/>
          <w:szCs w:val="24"/>
          <w:w w:val="100"/>
          <w:spacing w:val="0"/>
          <w:color w:val="000000"/>
          <w:position w:val="0"/>
        </w:rPr>
        <w:t xml:space="preserve">и сливным устройством </w:t>
      </w:r>
      <w:r>
        <w:rPr>
          <w:lang w:val="en-US" w:eastAsia="en-US" w:bidi="en-US"/>
          <w:sz w:val="24"/>
          <w:szCs w:val="24"/>
          <w:w w:val="100"/>
          <w:spacing w:val="0"/>
          <w:color w:val="000000"/>
          <w:position w:val="0"/>
        </w:rPr>
        <w:t xml:space="preserve">Quik-fil drain funnel </w:t>
      </w:r>
      <w:r>
        <w:rPr>
          <w:lang w:val="ru-RU" w:eastAsia="ru-RU" w:bidi="ru-RU"/>
          <w:sz w:val="24"/>
          <w:szCs w:val="24"/>
          <w:w w:val="100"/>
          <w:spacing w:val="0"/>
          <w:color w:val="000000"/>
          <w:position w:val="0"/>
        </w:rPr>
        <w:t>(согласно руководству по эксплуатации испарителей). Использование Заказчиком флаконов лекарственного препарата, оснащенных укупорочной системой с клапаном и пружинным возвратом, обусловлено наличием специального устройства системы, которая защищает медицинский персонал, не допуская контакта сотрудников, находящихся в операционной, с жидкостью Севофлуран, исключает переливание жидкости из флакона и не требует дополнительного оборудования помещения (например, вытяжные шкафы и прочие). В соответствии с рекомендацией производителя наркозно</w:t>
        <w:softHyphen/>
        <w:t xml:space="preserve">дыхательных аппаратов испарители предназначены для использования только с флаконами со встроенными адаптерами </w:t>
      </w:r>
      <w:r>
        <w:rPr>
          <w:lang w:val="en-US" w:eastAsia="en-US" w:bidi="en-US"/>
          <w:sz w:val="24"/>
          <w:szCs w:val="24"/>
          <w:w w:val="100"/>
          <w:spacing w:val="0"/>
          <w:color w:val="000000"/>
          <w:position w:val="0"/>
        </w:rPr>
        <w:t xml:space="preserve">Quik-fil </w:t>
      </w:r>
      <w:r>
        <w:rPr>
          <w:lang w:val="ru-RU" w:eastAsia="ru-RU" w:bidi="ru-RU"/>
          <w:sz w:val="24"/>
          <w:szCs w:val="24"/>
          <w:w w:val="100"/>
          <w:spacing w:val="0"/>
          <w:color w:val="000000"/>
          <w:position w:val="0"/>
        </w:rPr>
        <w:t xml:space="preserve">или с адаптерами типа </w:t>
      </w:r>
      <w:r>
        <w:rPr>
          <w:lang w:val="en-US" w:eastAsia="en-US" w:bidi="en-US"/>
          <w:sz w:val="24"/>
          <w:szCs w:val="24"/>
          <w:w w:val="100"/>
          <w:spacing w:val="0"/>
          <w:color w:val="000000"/>
          <w:position w:val="0"/>
        </w:rPr>
        <w:t xml:space="preserve">Quik-fil, </w:t>
      </w:r>
      <w:r>
        <w:rPr>
          <w:lang w:val="ru-RU" w:eastAsia="ru-RU" w:bidi="ru-RU"/>
          <w:sz w:val="24"/>
          <w:szCs w:val="24"/>
          <w:w w:val="100"/>
          <w:spacing w:val="0"/>
          <w:color w:val="000000"/>
          <w:position w:val="0"/>
        </w:rPr>
        <w:t>подходящих для заправки и слива анестетика, так как использование других, не предусмотренных инструкцией приспособлений, могут привести к повреждению клапана системы заполнения и создать опасность, как для медицинского персонала, приводя к значительному повышению концентрации севофлурана в атмосферном воздухе операционной, так и для пациента, т.к. может нарушиться система дозирования севофлурана.</w:t>
      </w:r>
    </w:p>
    <w:p>
      <w:pPr>
        <w:pStyle w:val="Style29"/>
        <w:widowControl w:val="0"/>
        <w:keepNext w:val="0"/>
        <w:keepLines w:val="0"/>
        <w:shd w:val="clear" w:color="auto" w:fill="auto"/>
        <w:bidi w:val="0"/>
        <w:spacing w:before="0" w:after="0" w:line="295" w:lineRule="exact"/>
        <w:ind w:left="160" w:right="20" w:firstLine="600"/>
      </w:pPr>
      <w:r>
        <w:rPr>
          <w:lang w:val="ru-RU" w:eastAsia="ru-RU" w:bidi="ru-RU"/>
          <w:sz w:val="24"/>
          <w:szCs w:val="24"/>
          <w:w w:val="100"/>
          <w:spacing w:val="0"/>
          <w:color w:val="000000"/>
          <w:position w:val="0"/>
        </w:rPr>
        <w:t>Возможна поставка лекарственного препарата с условием безвозмездной передачи заказчику соответствующих адаптеров, обеспечивающих работоспособность имеющегося у заказчика оборудования. Поставщик декларирует совместимость адаптеров с флаконом, а также с используемыми Заказчиком испарителями наркозно</w:t>
        <w:softHyphen/>
        <w:t xml:space="preserve">дыхательных аппаратов (с заправочной системой </w:t>
      </w:r>
      <w:r>
        <w:rPr>
          <w:lang w:val="en-US" w:eastAsia="en-US" w:bidi="en-US"/>
          <w:sz w:val="24"/>
          <w:szCs w:val="24"/>
          <w:w w:val="100"/>
          <w:spacing w:val="0"/>
          <w:color w:val="000000"/>
          <w:position w:val="0"/>
        </w:rPr>
        <w:t xml:space="preserve">Quik-fil </w:t>
      </w:r>
      <w:r>
        <w:rPr>
          <w:lang w:val="ru-RU" w:eastAsia="ru-RU" w:bidi="ru-RU"/>
          <w:sz w:val="24"/>
          <w:szCs w:val="24"/>
          <w:w w:val="100"/>
          <w:spacing w:val="0"/>
          <w:color w:val="000000"/>
          <w:position w:val="0"/>
        </w:rPr>
        <w:t xml:space="preserve">и сливным устройством </w:t>
      </w:r>
      <w:r>
        <w:rPr>
          <w:lang w:val="en-US" w:eastAsia="en-US" w:bidi="en-US"/>
          <w:sz w:val="24"/>
          <w:szCs w:val="24"/>
          <w:w w:val="100"/>
          <w:spacing w:val="0"/>
          <w:color w:val="000000"/>
          <w:position w:val="0"/>
        </w:rPr>
        <w:t xml:space="preserve">Quik-fil drain funnel), </w:t>
      </w:r>
      <w:r>
        <w:rPr>
          <w:lang w:val="ru-RU" w:eastAsia="ru-RU" w:bidi="ru-RU"/>
          <w:sz w:val="24"/>
          <w:szCs w:val="24"/>
          <w:w w:val="100"/>
          <w:spacing w:val="0"/>
          <w:color w:val="000000"/>
          <w:position w:val="0"/>
        </w:rPr>
        <w:t xml:space="preserve">которая проверяется заказчиком при поставке лекарственного препарата, что подтверждается Регистрационным удостоверением Министерства здравоохранения или Федеральной службы по надзору в сфере здравоохранения и социального развития, копия которого должна предоставляться в составе второй части заявки. Адаптеры передаются заказчику в количестве не менее количества флаконов при каждой поставке. </w:t>
      </w:r>
      <w:r>
        <w:rPr>
          <w:rStyle w:val="CharStyle31"/>
          <w:i/>
          <w:iCs/>
        </w:rPr>
        <w:t xml:space="preserve">Адаптеры поставляются в оригинальной заводской </w:t>
      </w:r>
      <w:r>
        <w:rPr>
          <w:lang w:val="ru-RU" w:eastAsia="ru-RU" w:bidi="ru-RU"/>
          <w:sz w:val="24"/>
          <w:szCs w:val="24"/>
          <w:w w:val="100"/>
          <w:spacing w:val="0"/>
          <w:color w:val="000000"/>
          <w:position w:val="0"/>
        </w:rPr>
        <w:t>упаковке, позволяющей их идентифицировать.</w:t>
      </w:r>
    </w:p>
    <w:p>
      <w:pPr>
        <w:pStyle w:val="Style12"/>
        <w:widowControl w:val="0"/>
        <w:keepNext w:val="0"/>
        <w:keepLines w:val="0"/>
        <w:shd w:val="clear" w:color="auto" w:fill="auto"/>
        <w:bidi w:val="0"/>
        <w:spacing w:before="0" w:after="0" w:line="295" w:lineRule="exact"/>
        <w:ind w:left="20" w:right="20" w:firstLine="740"/>
      </w:pPr>
      <w:r>
        <w:rPr>
          <w:lang w:val="ru-RU" w:eastAsia="ru-RU" w:bidi="ru-RU"/>
          <w:sz w:val="24"/>
          <w:szCs w:val="24"/>
          <w:w w:val="100"/>
          <w:spacing w:val="0"/>
          <w:color w:val="000000"/>
          <w:position w:val="0"/>
        </w:rPr>
        <w:t xml:space="preserve">Таким образом, заказчик, указав в аукционной документации требование к первичной упаковке лекарственного препарата с МНН «Севофлуран» (флаконы, оснащенные специальной укупорочной системой </w:t>
      </w:r>
      <w:r>
        <w:rPr>
          <w:lang w:val="en-US" w:eastAsia="en-US" w:bidi="en-US"/>
          <w:sz w:val="24"/>
          <w:szCs w:val="24"/>
          <w:w w:val="100"/>
          <w:spacing w:val="0"/>
          <w:color w:val="000000"/>
          <w:position w:val="0"/>
        </w:rPr>
        <w:t xml:space="preserve">Quik-fil), </w:t>
      </w:r>
      <w:r>
        <w:rPr>
          <w:lang w:val="ru-RU" w:eastAsia="ru-RU" w:bidi="ru-RU"/>
          <w:sz w:val="24"/>
          <w:szCs w:val="24"/>
          <w:w w:val="100"/>
          <w:spacing w:val="0"/>
          <w:color w:val="000000"/>
          <w:position w:val="0"/>
        </w:rPr>
        <w:t>приводит обоснование необходимости последнего. Заказчик взаимосвязывает необходимость включения данного требования в аукционную документацию с имеющимся у заказчика оборудованием.</w:t>
      </w:r>
    </w:p>
    <w:p>
      <w:pPr>
        <w:pStyle w:val="Style12"/>
        <w:widowControl w:val="0"/>
        <w:keepNext w:val="0"/>
        <w:keepLines w:val="0"/>
        <w:shd w:val="clear" w:color="auto" w:fill="auto"/>
        <w:bidi w:val="0"/>
        <w:spacing w:before="0" w:after="0" w:line="295" w:lineRule="exact"/>
        <w:ind w:left="20" w:right="20" w:firstLine="740"/>
      </w:pPr>
      <w:r>
        <w:rPr>
          <w:lang w:val="ru-RU" w:eastAsia="ru-RU" w:bidi="ru-RU"/>
          <w:sz w:val="24"/>
          <w:szCs w:val="24"/>
          <w:w w:val="100"/>
          <w:spacing w:val="0"/>
          <w:color w:val="000000"/>
          <w:position w:val="0"/>
        </w:rPr>
        <w:t>В силу отсутствия законодательно установленной формы, а также требования к содержанию обоснования указания в аукционной документации тех или иных характеристик предмета закупки, представленное Заказчиком в рассматриваемой аукционной документации обоснование является достаточным, раскрывающим исключительность (обязательность) включения оспариваемого требования в аукционную документацию.</w:t>
      </w:r>
    </w:p>
    <w:p>
      <w:pPr>
        <w:pStyle w:val="Style12"/>
        <w:widowControl w:val="0"/>
        <w:keepNext w:val="0"/>
        <w:keepLines w:val="0"/>
        <w:shd w:val="clear" w:color="auto" w:fill="auto"/>
        <w:bidi w:val="0"/>
        <w:jc w:val="left"/>
        <w:spacing w:before="0" w:after="0" w:line="295" w:lineRule="exact"/>
        <w:ind w:left="580" w:right="0" w:firstLine="0"/>
      </w:pPr>
      <w:r>
        <w:rPr>
          <w:lang w:val="ru-RU" w:eastAsia="ru-RU" w:bidi="ru-RU"/>
          <w:sz w:val="24"/>
          <w:szCs w:val="24"/>
          <w:w w:val="100"/>
          <w:spacing w:val="0"/>
          <w:color w:val="000000"/>
          <w:position w:val="0"/>
        </w:rPr>
        <w:t>Довод Заявителя признан необоснованным.</w:t>
      </w:r>
    </w:p>
    <w:p>
      <w:pPr>
        <w:pStyle w:val="Style33"/>
        <w:widowControl w:val="0"/>
        <w:keepNext/>
        <w:keepLines/>
        <w:shd w:val="clear" w:color="auto" w:fill="auto"/>
        <w:bidi w:val="0"/>
        <w:spacing w:before="0" w:after="0"/>
        <w:ind w:left="20" w:right="20"/>
      </w:pPr>
      <w:bookmarkStart w:id="6" w:name="bookmark6"/>
      <w:r>
        <w:rPr>
          <w:lang w:val="ru-RU" w:eastAsia="ru-RU" w:bidi="ru-RU"/>
          <w:sz w:val="24"/>
          <w:szCs w:val="24"/>
          <w:w w:val="100"/>
          <w:spacing w:val="0"/>
          <w:color w:val="000000"/>
          <w:position w:val="0"/>
        </w:rPr>
        <w:t>В соответствии с пунктом 1 части 15 статьи 99 Закона о контрактной системе Комиссия У ФАС провела внеплановую проверку, по результатам которой нарушений при проведении электронного аукциона не установлено.</w:t>
      </w:r>
      <w:bookmarkEnd w:id="6"/>
    </w:p>
    <w:p>
      <w:pPr>
        <w:pStyle w:val="Style12"/>
        <w:widowControl w:val="0"/>
        <w:keepNext w:val="0"/>
        <w:keepLines w:val="0"/>
        <w:shd w:val="clear" w:color="auto" w:fill="auto"/>
        <w:bidi w:val="0"/>
        <w:spacing w:before="0" w:after="246" w:line="302" w:lineRule="exact"/>
        <w:ind w:left="20" w:right="20" w:firstLine="440"/>
      </w:pPr>
      <w:r>
        <w:rPr>
          <w:lang w:val="ru-RU" w:eastAsia="ru-RU" w:bidi="ru-RU"/>
          <w:sz w:val="24"/>
          <w:szCs w:val="24"/>
          <w:w w:val="100"/>
          <w:spacing w:val="0"/>
          <w:color w:val="000000"/>
          <w:position w:val="0"/>
        </w:rPr>
        <w:t>На основании вышеизложенного, Комиссия У ФАС, руководствуясь статьями 99 и 106 Закона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25"/>
        <w:widowControl w:val="0"/>
        <w:keepNext w:val="0"/>
        <w:keepLines w:val="0"/>
        <w:shd w:val="clear" w:color="auto" w:fill="auto"/>
        <w:bidi w:val="0"/>
        <w:jc w:val="center"/>
        <w:spacing w:before="0" w:after="247" w:line="220" w:lineRule="exact"/>
        <w:ind w:left="300" w:right="0" w:firstLine="0"/>
      </w:pPr>
      <w:r>
        <w:rPr>
          <w:lang w:val="ru-RU" w:eastAsia="ru-RU" w:bidi="ru-RU"/>
          <w:w w:val="100"/>
          <w:spacing w:val="0"/>
          <w:color w:val="000000"/>
          <w:position w:val="0"/>
        </w:rPr>
        <w:t>РЕШИЛА:</w:t>
      </w:r>
    </w:p>
    <w:p>
      <w:pPr>
        <w:pStyle w:val="Style12"/>
        <w:numPr>
          <w:ilvl w:val="0"/>
          <w:numId w:val="7"/>
        </w:numPr>
        <w:widowControl w:val="0"/>
        <w:keepNext w:val="0"/>
        <w:keepLines w:val="0"/>
        <w:shd w:val="clear" w:color="auto" w:fill="auto"/>
        <w:bidi w:val="0"/>
        <w:spacing w:before="0" w:after="0" w:line="302" w:lineRule="exact"/>
        <w:ind w:left="20" w:right="0" w:firstLine="440"/>
      </w:pPr>
      <w:r>
        <w:rPr>
          <w:lang w:val="ru-RU" w:eastAsia="ru-RU" w:bidi="ru-RU"/>
          <w:sz w:val="24"/>
          <w:szCs w:val="24"/>
          <w:w w:val="100"/>
          <w:spacing w:val="0"/>
          <w:color w:val="000000"/>
          <w:position w:val="0"/>
        </w:rPr>
        <w:t xml:space="preserve"> Признать жалобу ООО «ТД «АЛВИЛС» необоснованной.</w:t>
      </w:r>
    </w:p>
    <w:p>
      <w:pPr>
        <w:pStyle w:val="Style12"/>
        <w:numPr>
          <w:ilvl w:val="0"/>
          <w:numId w:val="7"/>
        </w:numPr>
        <w:widowControl w:val="0"/>
        <w:keepNext w:val="0"/>
        <w:keepLines w:val="0"/>
        <w:shd w:val="clear" w:color="auto" w:fill="auto"/>
        <w:bidi w:val="0"/>
        <w:spacing w:before="0" w:after="223" w:line="302" w:lineRule="exact"/>
        <w:ind w:left="20" w:right="20" w:firstLine="440"/>
      </w:pPr>
      <w:r>
        <w:rPr>
          <w:lang w:val="ru-RU" w:eastAsia="ru-RU" w:bidi="ru-RU"/>
          <w:sz w:val="24"/>
          <w:szCs w:val="24"/>
          <w:w w:val="100"/>
          <w:spacing w:val="0"/>
          <w:color w:val="000000"/>
          <w:position w:val="0"/>
        </w:rPr>
        <w:t xml:space="preserve"> Требование о приостановлении определения поставщика (подрядчика, исполнителя) в части подписания контракта, установленное Управлением на основании ч. 7 ст. 106 Закона о контрактной системе, отменить.</w:t>
      </w:r>
    </w:p>
    <w:p>
      <w:pPr>
        <w:pStyle w:val="Style27"/>
        <w:widowControl w:val="0"/>
        <w:keepNext w:val="0"/>
        <w:keepLines w:val="0"/>
        <w:shd w:val="clear" w:color="auto" w:fill="auto"/>
        <w:bidi w:val="0"/>
        <w:jc w:val="left"/>
        <w:spacing w:before="0" w:after="487" w:line="248" w:lineRule="exact"/>
        <w:ind w:left="20" w:right="56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12"/>
        <w:widowControl w:val="0"/>
        <w:keepNext w:val="0"/>
        <w:keepLines w:val="0"/>
        <w:shd w:val="clear" w:color="auto" w:fill="auto"/>
        <w:bidi w:val="0"/>
        <w:jc w:val="left"/>
        <w:spacing w:before="0" w:after="304" w:line="240" w:lineRule="exact"/>
        <w:ind w:left="20" w:right="0" w:firstLine="0"/>
      </w:pPr>
      <w:r>
        <w:rPr>
          <w:lang w:val="ru-RU" w:eastAsia="ru-RU" w:bidi="ru-RU"/>
          <w:sz w:val="24"/>
          <w:szCs w:val="24"/>
          <w:w w:val="100"/>
          <w:spacing w:val="0"/>
          <w:color w:val="000000"/>
          <w:position w:val="0"/>
        </w:rPr>
        <w:t>Председатель комиссии</w:t>
      </w:r>
    </w:p>
    <w:p>
      <w:pPr>
        <w:pStyle w:val="Style12"/>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Члены комиссии:</w:t>
      </w:r>
    </w:p>
    <w:sectPr>
      <w:footnotePr>
        <w:pos w:val="pageBottom"/>
        <w:numFmt w:val="chicago"/>
        <w:numRestart w:val="eachPage"/>
      </w:footnotePr>
      <w:type w:val="continuous"/>
      <w:pgSz w:w="11906" w:h="16838"/>
      <w:pgMar w:top="1770" w:left="654" w:right="272" w:bottom="62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separator/>
      </w:r>
    </w:p>
  </w:footnote>
  <w:footnote w:id="1" w:type="continuationSeparator">
    <w:p>
      <w:r>
        <w:continuationSeparator/>
      </w:r>
    </w:p>
  </w:footnote>
  <w:footnote w:id="2">
    <w:p>
      <w:pPr>
        <w:pStyle w:val="Style3"/>
        <w:widowControl w:val="0"/>
        <w:keepNext w:val="0"/>
        <w:keepLines w:val="0"/>
        <w:shd w:val="clear" w:color="auto" w:fill="auto"/>
        <w:bidi w:val="0"/>
        <w:spacing w:before="0" w:after="0"/>
        <w:ind w:left="760" w:right="0" w:firstLine="0"/>
      </w:pPr>
      <w:r>
        <w:rPr>
          <w:lang w:val="ru-RU" w:eastAsia="ru-RU" w:bidi="ru-RU"/>
          <w:w w:val="100"/>
          <w:spacing w:val="0"/>
          <w:color w:val="000000"/>
          <w:position w:val="0"/>
        </w:rPr>
        <w:footnoteRef/>
      </w:r>
      <w:r>
        <w:rPr>
          <w:lang w:val="ru-RU" w:eastAsia="ru-RU" w:bidi="ru-RU"/>
          <w:w w:val="100"/>
          <w:spacing w:val="0"/>
          <w:color w:val="000000"/>
          <w:position w:val="0"/>
        </w:rPr>
        <w:t>Обоснование показателя «Количество в первичной упаковке», значение показателя «250 мл»:</w:t>
      </w:r>
    </w:p>
    <w:p>
      <w:pPr>
        <w:pStyle w:val="Style5"/>
        <w:widowControl w:val="0"/>
        <w:keepNext w:val="0"/>
        <w:keepLines w:val="0"/>
        <w:shd w:val="clear" w:color="auto" w:fill="auto"/>
        <w:bidi w:val="0"/>
        <w:spacing w:before="0" w:after="0"/>
        <w:ind w:left="760" w:right="0" w:firstLine="0"/>
      </w:pPr>
      <w:r>
        <w:rPr>
          <w:lang w:val="ru-RU" w:eastAsia="ru-RU" w:bidi="ru-RU"/>
          <w:w w:val="100"/>
          <w:spacing w:val="0"/>
          <w:color w:val="000000"/>
          <w:position w:val="0"/>
        </w:rPr>
        <w:t>Количество в первичной упаковке соответствует объему заправки испарителей, имеющихся у Заказчика.</w:t>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0"/>
      <w:numFmt w:val="decimal"/>
      <w:lvlText w:val="05.08.%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0"/>
      <w:numFmt w:val="decimal"/>
      <w:lvlText w:val="29.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020"/>
      <w:numFmt w:val="decimal"/>
      <w:lvlText w:val="20.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chicago"/>
      <w:numRestart w:val="eachPage"/>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Сноска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6">
    <w:name w:val="Сноска_"/>
    <w:basedOn w:val="DefaultParagraphFont"/>
    <w:link w:val="Style5"/>
    <w:rPr>
      <w:b w:val="0"/>
      <w:bCs w:val="0"/>
      <w:i w:val="0"/>
      <w:iCs w:val="0"/>
      <w:u w:val="none"/>
      <w:strike w:val="0"/>
      <w:smallCaps w:val="0"/>
      <w:sz w:val="22"/>
      <w:szCs w:val="22"/>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0"/>
      <w:szCs w:val="20"/>
      <w:rFonts w:ascii="Times New Roman" w:eastAsia="Times New Roman" w:hAnsi="Times New Roman" w:cs="Times New Roman"/>
    </w:rPr>
  </w:style>
  <w:style w:type="character" w:customStyle="1" w:styleId="CharStyle10">
    <w:name w:val="Заголовок №3_"/>
    <w:basedOn w:val="DefaultParagraphFont"/>
    <w:link w:val="Style9"/>
    <w:rPr>
      <w:b/>
      <w:bCs/>
      <w:i w:val="0"/>
      <w:iCs w:val="0"/>
      <w:u w:val="none"/>
      <w:strike w:val="0"/>
      <w:smallCaps w:val="0"/>
      <w:rFonts w:ascii="Times New Roman" w:eastAsia="Times New Roman" w:hAnsi="Times New Roman" w:cs="Times New Roman"/>
    </w:rPr>
  </w:style>
  <w:style w:type="character" w:customStyle="1" w:styleId="CharStyle11">
    <w:name w:val="Заголовок №3 + 10 pt"/>
    <w:basedOn w:val="CharStyle10"/>
    <w:rPr>
      <w:lang w:val="ru-RU" w:eastAsia="ru-RU" w:bidi="ru-RU"/>
      <w:sz w:val="20"/>
      <w:szCs w:val="20"/>
      <w:w w:val="100"/>
      <w:spacing w:val="0"/>
      <w:color w:val="000000"/>
      <w:position w:val="0"/>
    </w:rPr>
  </w:style>
  <w:style w:type="character" w:customStyle="1" w:styleId="CharStyle13">
    <w:name w:val="Основной текст_"/>
    <w:basedOn w:val="DefaultParagraphFont"/>
    <w:link w:val="Style12"/>
    <w:rPr>
      <w:b w:val="0"/>
      <w:bCs w:val="0"/>
      <w:i w:val="0"/>
      <w:iCs w:val="0"/>
      <w:u w:val="none"/>
      <w:strike w:val="0"/>
      <w:smallCaps w:val="0"/>
      <w:rFonts w:ascii="Times New Roman" w:eastAsia="Times New Roman" w:hAnsi="Times New Roman" w:cs="Times New Roman"/>
    </w:rPr>
  </w:style>
  <w:style w:type="character" w:customStyle="1" w:styleId="CharStyle14">
    <w:name w:val="Основной текст"/>
    <w:basedOn w:val="CharStyle13"/>
    <w:rPr>
      <w:lang w:val="en-US" w:eastAsia="en-US" w:bidi="en-US"/>
      <w:u w:val="single"/>
      <w:sz w:val="24"/>
      <w:szCs w:val="24"/>
      <w:w w:val="100"/>
      <w:spacing w:val="0"/>
      <w:color w:val="000000"/>
      <w:position w:val="0"/>
    </w:rPr>
  </w:style>
  <w:style w:type="character" w:customStyle="1" w:styleId="CharStyle15">
    <w:name w:val="Основной текст + 16 pt,Курсив"/>
    <w:basedOn w:val="CharStyle13"/>
    <w:rPr>
      <w:lang w:val="ru-RU" w:eastAsia="ru-RU" w:bidi="ru-RU"/>
      <w:i/>
      <w:iCs/>
      <w:u w:val="single"/>
      <w:sz w:val="32"/>
      <w:szCs w:val="32"/>
      <w:w w:val="100"/>
      <w:spacing w:val="0"/>
      <w:color w:val="000000"/>
      <w:position w:val="0"/>
    </w:rPr>
  </w:style>
  <w:style w:type="character" w:customStyle="1" w:styleId="CharStyle16">
    <w:name w:val="Основной текст + 16 pt"/>
    <w:basedOn w:val="CharStyle13"/>
    <w:rPr>
      <w:lang w:val="1024"/>
      <w:sz w:val="32"/>
      <w:szCs w:val="32"/>
      <w:w w:val="100"/>
      <w:spacing w:val="0"/>
      <w:color w:val="000000"/>
      <w:position w:val="0"/>
    </w:rPr>
  </w:style>
  <w:style w:type="character" w:customStyle="1" w:styleId="CharStyle17">
    <w:name w:val="Основной текст + Полужирный"/>
    <w:basedOn w:val="CharStyle13"/>
    <w:rPr>
      <w:lang w:val="ru-RU" w:eastAsia="ru-RU" w:bidi="ru-RU"/>
      <w:b/>
      <w:bCs/>
      <w:sz w:val="24"/>
      <w:szCs w:val="24"/>
      <w:w w:val="100"/>
      <w:spacing w:val="0"/>
      <w:color w:val="000000"/>
      <w:position w:val="0"/>
    </w:rPr>
  </w:style>
  <w:style w:type="character" w:customStyle="1" w:styleId="CharStyle19">
    <w:name w:val="Заголовок №2_"/>
    <w:basedOn w:val="DefaultParagraphFont"/>
    <w:link w:val="Style18"/>
    <w:rPr>
      <w:b/>
      <w:bCs/>
      <w:i w:val="0"/>
      <w:iCs w:val="0"/>
      <w:u w:val="none"/>
      <w:strike w:val="0"/>
      <w:smallCaps w:val="0"/>
      <w:rFonts w:ascii="Times New Roman" w:eastAsia="Times New Roman" w:hAnsi="Times New Roman" w:cs="Times New Roman"/>
    </w:rPr>
  </w:style>
  <w:style w:type="character" w:customStyle="1" w:styleId="CharStyle20">
    <w:name w:val="Основной текст + 9 pt"/>
    <w:basedOn w:val="CharStyle13"/>
    <w:rPr>
      <w:lang w:val="ru-RU" w:eastAsia="ru-RU" w:bidi="ru-RU"/>
      <w:sz w:val="18"/>
      <w:szCs w:val="18"/>
      <w:w w:val="100"/>
      <w:spacing w:val="0"/>
      <w:color w:val="000000"/>
      <w:position w:val="0"/>
    </w:rPr>
  </w:style>
  <w:style w:type="character" w:customStyle="1" w:styleId="CharStyle21">
    <w:name w:val="Основной текст + 8,5 pt,Интервал 0 pt"/>
    <w:basedOn w:val="CharStyle13"/>
    <w:rPr>
      <w:lang w:val="ru-RU" w:eastAsia="ru-RU" w:bidi="ru-RU"/>
      <w:sz w:val="17"/>
      <w:szCs w:val="17"/>
      <w:w w:val="100"/>
      <w:spacing w:val="10"/>
      <w:color w:val="000000"/>
      <w:position w:val="0"/>
    </w:rPr>
  </w:style>
  <w:style w:type="character" w:customStyle="1" w:styleId="CharStyle22">
    <w:name w:val="Основной текст + 9 pt,Курсив"/>
    <w:basedOn w:val="CharStyle13"/>
    <w:rPr>
      <w:lang w:val="ru-RU" w:eastAsia="ru-RU" w:bidi="ru-RU"/>
      <w:i/>
      <w:iCs/>
      <w:sz w:val="18"/>
      <w:szCs w:val="18"/>
      <w:w w:val="100"/>
      <w:spacing w:val="0"/>
      <w:color w:val="000000"/>
      <w:position w:val="0"/>
    </w:rPr>
  </w:style>
  <w:style w:type="character" w:customStyle="1" w:styleId="CharStyle23">
    <w:name w:val="Основной текст + 4 pt"/>
    <w:basedOn w:val="CharStyle13"/>
    <w:rPr>
      <w:lang w:val="ru-RU" w:eastAsia="ru-RU" w:bidi="ru-RU"/>
      <w:sz w:val="8"/>
      <w:szCs w:val="8"/>
      <w:w w:val="100"/>
      <w:spacing w:val="0"/>
      <w:color w:val="000000"/>
      <w:position w:val="0"/>
    </w:rPr>
  </w:style>
  <w:style w:type="character" w:customStyle="1" w:styleId="CharStyle24">
    <w:name w:val="Основной текст + 9 pt,Курсив"/>
    <w:basedOn w:val="CharStyle13"/>
    <w:rPr>
      <w:lang w:val="ru-RU" w:eastAsia="ru-RU" w:bidi="ru-RU"/>
      <w:i/>
      <w:iCs/>
      <w:sz w:val="18"/>
      <w:szCs w:val="18"/>
      <w:w w:val="100"/>
      <w:spacing w:val="0"/>
      <w:color w:val="000000"/>
      <w:position w:val="0"/>
    </w:rPr>
  </w:style>
  <w:style w:type="character" w:customStyle="1" w:styleId="CharStyle26">
    <w:name w:val="Основной текст (3)_"/>
    <w:basedOn w:val="DefaultParagraphFont"/>
    <w:link w:val="Style25"/>
    <w:rPr>
      <w:b/>
      <w:bCs/>
      <w:i w:val="0"/>
      <w:iCs w:val="0"/>
      <w:u w:val="none"/>
      <w:strike w:val="0"/>
      <w:smallCaps w:val="0"/>
      <w:sz w:val="22"/>
      <w:szCs w:val="22"/>
      <w:rFonts w:ascii="Times New Roman" w:eastAsia="Times New Roman" w:hAnsi="Times New Roman" w:cs="Times New Roman"/>
    </w:rPr>
  </w:style>
  <w:style w:type="character" w:customStyle="1" w:styleId="CharStyle28">
    <w:name w:val="Основной текст (4)_"/>
    <w:basedOn w:val="DefaultParagraphFont"/>
    <w:link w:val="Style27"/>
    <w:rPr>
      <w:b w:val="0"/>
      <w:bCs w:val="0"/>
      <w:i w:val="0"/>
      <w:iCs w:val="0"/>
      <w:u w:val="none"/>
      <w:strike w:val="0"/>
      <w:smallCaps w:val="0"/>
      <w:sz w:val="22"/>
      <w:szCs w:val="22"/>
      <w:rFonts w:ascii="Times New Roman" w:eastAsia="Times New Roman" w:hAnsi="Times New Roman" w:cs="Times New Roman"/>
    </w:rPr>
  </w:style>
  <w:style w:type="character" w:customStyle="1" w:styleId="CharStyle30">
    <w:name w:val="Основной текст (5)_"/>
    <w:basedOn w:val="DefaultParagraphFont"/>
    <w:link w:val="Style29"/>
    <w:rPr>
      <w:b w:val="0"/>
      <w:bCs w:val="0"/>
      <w:i/>
      <w:iCs/>
      <w:u w:val="none"/>
      <w:strike w:val="0"/>
      <w:smallCaps w:val="0"/>
      <w:rFonts w:ascii="Times New Roman" w:eastAsia="Times New Roman" w:hAnsi="Times New Roman" w:cs="Times New Roman"/>
    </w:rPr>
  </w:style>
  <w:style w:type="character" w:customStyle="1" w:styleId="CharStyle31">
    <w:name w:val="Основной текст (5) + 11 pt"/>
    <w:basedOn w:val="CharStyle30"/>
    <w:rPr>
      <w:lang w:val="ru-RU" w:eastAsia="ru-RU" w:bidi="ru-RU"/>
      <w:sz w:val="22"/>
      <w:szCs w:val="22"/>
      <w:w w:val="100"/>
      <w:spacing w:val="0"/>
      <w:color w:val="000000"/>
      <w:position w:val="0"/>
    </w:rPr>
  </w:style>
  <w:style w:type="character" w:customStyle="1" w:styleId="CharStyle32">
    <w:name w:val="Основной текст (5) + Не курсив"/>
    <w:basedOn w:val="CharStyle30"/>
    <w:rPr>
      <w:lang w:val="ru-RU" w:eastAsia="ru-RU" w:bidi="ru-RU"/>
      <w:i/>
      <w:iCs/>
      <w:sz w:val="24"/>
      <w:szCs w:val="24"/>
      <w:w w:val="100"/>
      <w:spacing w:val="0"/>
      <w:color w:val="000000"/>
      <w:position w:val="0"/>
    </w:rPr>
  </w:style>
  <w:style w:type="character" w:customStyle="1" w:styleId="CharStyle34">
    <w:name w:val="Заголовок №1_"/>
    <w:basedOn w:val="DefaultParagraphFont"/>
    <w:link w:val="Style33"/>
    <w:rPr>
      <w:b w:val="0"/>
      <w:bCs w:val="0"/>
      <w:i w:val="0"/>
      <w:iCs w:val="0"/>
      <w:u w:val="none"/>
      <w:strike w:val="0"/>
      <w:smallCaps w:val="0"/>
      <w:rFonts w:ascii="Times New Roman" w:eastAsia="Times New Roman" w:hAnsi="Times New Roman" w:cs="Times New Roman"/>
    </w:rPr>
  </w:style>
  <w:style w:type="paragraph" w:customStyle="1" w:styleId="Style3">
    <w:name w:val="Сноска (2)"/>
    <w:basedOn w:val="Normal"/>
    <w:link w:val="CharStyle4"/>
    <w:pPr>
      <w:widowControl w:val="0"/>
      <w:shd w:val="clear" w:color="auto" w:fill="FFFFFF"/>
      <w:jc w:val="both"/>
      <w:spacing w:line="266"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Сноска"/>
    <w:basedOn w:val="Normal"/>
    <w:link w:val="CharStyle6"/>
    <w:pPr>
      <w:widowControl w:val="0"/>
      <w:shd w:val="clear" w:color="auto" w:fill="FFFFFF"/>
      <w:jc w:val="both"/>
      <w:spacing w:line="259"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center"/>
      <w:spacing w:before="120" w:after="240" w:line="252" w:lineRule="exact"/>
    </w:pPr>
    <w:rPr>
      <w:b/>
      <w:bCs/>
      <w:i w:val="0"/>
      <w:iCs w:val="0"/>
      <w:u w:val="none"/>
      <w:strike w:val="0"/>
      <w:smallCaps w:val="0"/>
      <w:sz w:val="20"/>
      <w:szCs w:val="20"/>
      <w:rFonts w:ascii="Times New Roman" w:eastAsia="Times New Roman" w:hAnsi="Times New Roman" w:cs="Times New Roman"/>
    </w:rPr>
  </w:style>
  <w:style w:type="paragraph" w:customStyle="1" w:styleId="Style9">
    <w:name w:val="Заголовок №3"/>
    <w:basedOn w:val="Normal"/>
    <w:link w:val="CharStyle10"/>
    <w:pPr>
      <w:widowControl w:val="0"/>
      <w:shd w:val="clear" w:color="auto" w:fill="FFFFFF"/>
      <w:jc w:val="center"/>
      <w:outlineLvl w:val="2"/>
      <w:spacing w:before="240" w:after="240" w:line="295" w:lineRule="exact"/>
    </w:pPr>
    <w:rPr>
      <w:b/>
      <w:bCs/>
      <w:i w:val="0"/>
      <w:iCs w:val="0"/>
      <w:u w:val="none"/>
      <w:strike w:val="0"/>
      <w:smallCaps w:val="0"/>
      <w:rFonts w:ascii="Times New Roman" w:eastAsia="Times New Roman" w:hAnsi="Times New Roman" w:cs="Times New Roman"/>
    </w:rPr>
  </w:style>
  <w:style w:type="paragraph" w:customStyle="1" w:styleId="Style12">
    <w:name w:val="Основной текст"/>
    <w:basedOn w:val="Normal"/>
    <w:link w:val="CharStyle13"/>
    <w:pPr>
      <w:widowControl w:val="0"/>
      <w:shd w:val="clear" w:color="auto" w:fill="FFFFFF"/>
      <w:jc w:val="both"/>
      <w:spacing w:before="240" w:line="324" w:lineRule="exact"/>
    </w:pPr>
    <w:rPr>
      <w:b w:val="0"/>
      <w:bCs w:val="0"/>
      <w:i w:val="0"/>
      <w:iCs w:val="0"/>
      <w:u w:val="none"/>
      <w:strike w:val="0"/>
      <w:smallCaps w:val="0"/>
      <w:rFonts w:ascii="Times New Roman" w:eastAsia="Times New Roman" w:hAnsi="Times New Roman" w:cs="Times New Roman"/>
    </w:rPr>
  </w:style>
  <w:style w:type="paragraph" w:customStyle="1" w:styleId="Style18">
    <w:name w:val="Заголовок №2"/>
    <w:basedOn w:val="Normal"/>
    <w:link w:val="CharStyle19"/>
    <w:pPr>
      <w:widowControl w:val="0"/>
      <w:shd w:val="clear" w:color="auto" w:fill="FFFFFF"/>
      <w:outlineLvl w:val="1"/>
      <w:spacing w:before="300" w:after="300" w:line="0" w:lineRule="exact"/>
    </w:pPr>
    <w:rPr>
      <w:b/>
      <w:bCs/>
      <w:i w:val="0"/>
      <w:iCs w:val="0"/>
      <w:u w:val="none"/>
      <w:strike w:val="0"/>
      <w:smallCaps w:val="0"/>
      <w:rFonts w:ascii="Times New Roman" w:eastAsia="Times New Roman" w:hAnsi="Times New Roman" w:cs="Times New Roman"/>
    </w:rPr>
  </w:style>
  <w:style w:type="paragraph" w:customStyle="1" w:styleId="Style25">
    <w:name w:val="Основной текст (3)"/>
    <w:basedOn w:val="Normal"/>
    <w:link w:val="CharStyle26"/>
    <w:pPr>
      <w:widowControl w:val="0"/>
      <w:shd w:val="clear" w:color="auto" w:fill="FFFFFF"/>
      <w:jc w:val="both"/>
      <w:spacing w:before="180" w:line="299" w:lineRule="exact"/>
    </w:pPr>
    <w:rPr>
      <w:b/>
      <w:bCs/>
      <w:i w:val="0"/>
      <w:iCs w:val="0"/>
      <w:u w:val="none"/>
      <w:strike w:val="0"/>
      <w:smallCaps w:val="0"/>
      <w:sz w:val="22"/>
      <w:szCs w:val="22"/>
      <w:rFonts w:ascii="Times New Roman" w:eastAsia="Times New Roman" w:hAnsi="Times New Roman" w:cs="Times New Roman"/>
    </w:rPr>
  </w:style>
  <w:style w:type="paragraph" w:customStyle="1" w:styleId="Style27">
    <w:name w:val="Основной текст (4)"/>
    <w:basedOn w:val="Normal"/>
    <w:link w:val="CharStyle28"/>
    <w:pPr>
      <w:widowControl w:val="0"/>
      <w:shd w:val="clear" w:color="auto" w:fill="FFFFFF"/>
      <w:jc w:val="both"/>
      <w:spacing w:line="274" w:lineRule="exact"/>
      <w:ind w:firstLine="680"/>
    </w:pPr>
    <w:rPr>
      <w:b w:val="0"/>
      <w:bCs w:val="0"/>
      <w:i w:val="0"/>
      <w:iCs w:val="0"/>
      <w:u w:val="none"/>
      <w:strike w:val="0"/>
      <w:smallCaps w:val="0"/>
      <w:sz w:val="22"/>
      <w:szCs w:val="22"/>
      <w:rFonts w:ascii="Times New Roman" w:eastAsia="Times New Roman" w:hAnsi="Times New Roman" w:cs="Times New Roman"/>
    </w:rPr>
  </w:style>
  <w:style w:type="paragraph" w:customStyle="1" w:styleId="Style29">
    <w:name w:val="Основной текст (5)"/>
    <w:basedOn w:val="Normal"/>
    <w:link w:val="CharStyle30"/>
    <w:pPr>
      <w:widowControl w:val="0"/>
      <w:shd w:val="clear" w:color="auto" w:fill="FFFFFF"/>
      <w:jc w:val="both"/>
      <w:spacing w:line="274" w:lineRule="exact"/>
    </w:pPr>
    <w:rPr>
      <w:b w:val="0"/>
      <w:bCs w:val="0"/>
      <w:i/>
      <w:iCs/>
      <w:u w:val="none"/>
      <w:strike w:val="0"/>
      <w:smallCaps w:val="0"/>
      <w:rFonts w:ascii="Times New Roman" w:eastAsia="Times New Roman" w:hAnsi="Times New Roman" w:cs="Times New Roman"/>
    </w:rPr>
  </w:style>
  <w:style w:type="paragraph" w:customStyle="1" w:styleId="Style33">
    <w:name w:val="Заголовок №1"/>
    <w:basedOn w:val="Normal"/>
    <w:link w:val="CharStyle34"/>
    <w:pPr>
      <w:widowControl w:val="0"/>
      <w:shd w:val="clear" w:color="auto" w:fill="FFFFFF"/>
      <w:jc w:val="both"/>
      <w:outlineLvl w:val="0"/>
      <w:spacing w:line="302" w:lineRule="exact"/>
      <w:ind w:firstLine="440"/>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