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46" w:after="246"/>
        <w:ind w:left="840" w:right="0" w:firstLine="0"/>
      </w:pPr>
      <w:r>
        <w:rPr>
          <w:rStyle w:val="CharStyle5"/>
          <w:b/>
          <w:bCs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8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77"/>
        <w:ind w:left="20" w:right="0" w:firstLine="0"/>
      </w:pP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6"/>
        <w:tabs>
          <w:tab w:leader="none" w:pos="5208" w:val="center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«05» августа 2020 №</w:t>
        <w:tab/>
      </w:r>
      <w:r>
        <w:rPr>
          <w:rStyle w:val="CharStyle9"/>
        </w:rPr>
        <w:t>Заказчики: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3" w:line="299" w:lineRule="exact"/>
        <w:ind w:left="456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БУЗ ВО «Кич-Городецкая ЦРБ» с.Кичменгский Городок, ул.Заречная, д.41 </w:t>
      </w:r>
      <w:r>
        <w:fldChar w:fldCharType="begin"/>
      </w:r>
      <w:r>
        <w:rPr>
          <w:color w:val="000000"/>
        </w:rPr>
        <w:instrText> HYPERLINK "mailto:crbkich@mail.ru"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crbkich@mail.ru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БУЗ ВО «Грязовецкая ЦРБ»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456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162000 г.Грязовец, ул. Граждане кая, д.20 </w:t>
      </w:r>
      <w:r>
        <w:fldChar w:fldCharType="begin"/>
      </w:r>
      <w:r>
        <w:rPr>
          <w:color w:val="000000"/>
        </w:rPr>
        <w:instrText> HYPERLINK "mailto:grmb_zakupki@mail.ru"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grmb_zakupki@mail.ru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5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БУЗ ВО «Вытегорская ЦРБ»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 w:line="299" w:lineRule="exact"/>
        <w:ind w:left="456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162900, г. Вытегра г, Советская, 16 </w:t>
      </w:r>
      <w:r>
        <w:fldChar w:fldCharType="begin"/>
      </w:r>
      <w:r>
        <w:rPr>
          <w:rStyle w:val="CharStyle8"/>
        </w:rPr>
        <w:instrText> HYPERLINK "mailto:vtsrb.v@vandex.ru" </w:instrText>
      </w:r>
      <w:r>
        <w:fldChar w:fldCharType="separate"/>
      </w:r>
      <w:r>
        <w:rPr>
          <w:rStyle w:val="Hyperlink"/>
        </w:rPr>
        <w:t>vtsrb.v@vandex.ru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5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БУЗ ВО «Вологодская ЦРБ»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9" w:line="299" w:lineRule="exact"/>
        <w:ind w:left="456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140016 г.Вологда, Набережная 6 Армии, д. 137 </w:t>
      </w:r>
      <w:r>
        <w:fldChar w:fldCharType="begin"/>
      </w:r>
      <w:r>
        <w:rPr>
          <w:rStyle w:val="CharStyle8"/>
        </w:rPr>
        <w:instrText> HYPERLINK "mailto:zakup-vol-crb@mail.ru" </w:instrText>
      </w:r>
      <w:r>
        <w:fldChar w:fldCharType="separate"/>
      </w:r>
      <w:r>
        <w:rPr>
          <w:rStyle w:val="Hyperlink"/>
        </w:rPr>
        <w:t>zakup-vol-crb@mail.ru</w:t>
      </w:r>
      <w:r>
        <w:fldChar w:fldCharType="end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0"/>
        <w:ind w:left="456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56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государственного заказа Вологодской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88" w:lineRule="exact"/>
        <w:ind w:left="456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160009, г. Вологда, ул. Козленская, д.6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"mailto:kgz@gov35.ru"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kgz@gov35.ru</w:t>
      </w:r>
      <w:r>
        <w:fldChar w:fldCharType="end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0" w:line="292" w:lineRule="exact"/>
        <w:ind w:left="456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  <w:bookmarkEnd w:id="1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5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«Приоритет Инжиниринг»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92" w:lineRule="exact"/>
        <w:ind w:left="456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197183, г. Санкт-Петербург, ул. Полевая Сабировская, д.49, Литер А, офис 496 </w:t>
      </w:r>
      <w:r>
        <w:fldChar w:fldCharType="begin"/>
      </w:r>
      <w:r>
        <w:rPr>
          <w:rStyle w:val="CharStyle8"/>
        </w:rPr>
        <w:instrText> HYPERLINK "mailto:prioritet-eng@mail.ru" </w:instrText>
      </w:r>
      <w:r>
        <w:fldChar w:fldCharType="separate"/>
      </w:r>
      <w:r>
        <w:rPr>
          <w:rStyle w:val="Hyperlink"/>
        </w:rPr>
        <w:t>prioritet-eng@mail.ru</w:t>
      </w:r>
      <w:r>
        <w:fldChar w:fldCharType="end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0" w:line="295" w:lineRule="exact"/>
        <w:ind w:left="456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  <w:bookmarkEnd w:id="2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6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Большой Саввинский переулок, дом 12, строение 9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314" w:line="240" w:lineRule="exact"/>
        <w:ind w:left="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№ 035/06/64-458/2020</w:t>
      </w:r>
      <w:bookmarkEnd w:id="3"/>
    </w:p>
    <w:p>
      <w:pPr>
        <w:pStyle w:val="Style6"/>
        <w:tabs>
          <w:tab w:leader="none" w:pos="8304" w:val="right"/>
          <w:tab w:leader="none" w:pos="8840" w:val="center"/>
        </w:tabs>
        <w:widowControl w:val="0"/>
        <w:keepNext w:val="0"/>
        <w:keepLines w:val="0"/>
        <w:shd w:val="clear" w:color="auto" w:fill="auto"/>
        <w:bidi w:val="0"/>
        <w:spacing w:before="0" w:after="27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«03» августа 2020 г.</w:t>
        <w:tab/>
        <w:t>г.</w:t>
        <w:tab/>
        <w:t>Вологда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УФАС) в составе: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Сучков О.Н. - временно исполняющий обязанности заместителя руководителя Управления Федеральной антимонопольной службы по Вологодской области, начальник отдела контроля органов власти и закупок, председатель Комиссии Управления,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Предтеченская Е.Н. - старший государственный инспектор Управления Федеральной антимонопольной службы по Вологодской области, член Комиссии Управления,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Кузнецова Ю.Н. - специалист-эксперт Управления Федеральной антимонопольной службы по Вологодской области, член Комиссии Управления,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«Приоритет Инжиниринг» на положения документации при проведении совместного электронного аукциона «Поставка модульных конструкций фельдшерско-акушерского пункта», извещение № 0130200002420002203, заказчики в котором — бюджетные учреждения здравоохранения Вологодской области (далее - Заказчики), уполномоченный орган/организатор закупки - Комитет государственного заказа Вологодской области (далее - Уполномоченный орган), с участием представителей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84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Уполномоченного органа - Токановой Ю.В. (по доверенности), от Заказчика БУЗ ВО «Вытегорская ЦРБ»- Борисовой Е.А. (по доверенности), без участия представителей Заявителя (о способе и времени рассмотрения жалобы извещен надлежащим образом)</w:t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136" w:line="240" w:lineRule="exact"/>
        <w:ind w:left="4180" w:right="0" w:firstLine="0"/>
      </w:pPr>
      <w:bookmarkStart w:id="4" w:name="bookmark4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4"/>
    </w:p>
    <w:p>
      <w:pPr>
        <w:pStyle w:val="Style6"/>
        <w:numPr>
          <w:ilvl w:val="0"/>
          <w:numId w:val="1"/>
        </w:numPr>
        <w:tabs>
          <w:tab w:leader="none" w:pos="217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Управление Федеральной антимонопольной службы по Вологодской области поступила жалоба ООО «Приоритет Инжиниринг» на положения документации </w:t>
      </w:r>
      <w:r>
        <w:rPr>
          <w:rStyle w:val="CharStyle14"/>
        </w:rPr>
        <w:t xml:space="preserve">при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проведении </w:t>
      </w:r>
      <w:r>
        <w:rPr>
          <w:rStyle w:val="CharStyle14"/>
        </w:rPr>
        <w:t xml:space="preserve">совместного электронного аукциона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«Поставка модульных конструкций фельдшерско-акушерского пункта», извещение № 0130200002420002203,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Заявителя подана в надлежащий срок и соответствует требованиям, предусмотренным ст. 105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жалобе Заявитель приводит следующие доводы.</w:t>
      </w:r>
    </w:p>
    <w:p>
      <w:pPr>
        <w:pStyle w:val="Style6"/>
        <w:numPr>
          <w:ilvl w:val="0"/>
          <w:numId w:val="3"/>
        </w:numPr>
        <w:tabs>
          <w:tab w:leader="none" w:pos="116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Приложению № 3 к разделу I. Информационная карта документации о совместном аукционе в электронной форме, необходимая документация, предоставляемая Поставщиком </w:t>
      </w:r>
      <w:r>
        <w:rPr>
          <w:rStyle w:val="CharStyle8"/>
          <w:lang w:val="ru-RU" w:eastAsia="ru-RU" w:bidi="ru-RU"/>
        </w:rPr>
        <w:t>до подписания контракта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Копию сертификата соответствия на блочно-модульную продукцию «здания мобильные медицинского назначения» (декларация о соответствии), выданного </w:t>
      </w:r>
      <w:r>
        <w:rPr>
          <w:rStyle w:val="CharStyle14"/>
        </w:rPr>
        <w:t>уполномоченными органами (организациями);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Лицензия федеральной службы по надзору в сфере здравоохранения, для ввода в эксплуатацию и дальнейшего использования Заказчиком оборудования медицинского назначения.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Сертификат соответствия требованиям пожарной безопасности на блок- контейнерную продукцию.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Сертификат соответствия требованиям сейсмостойкости до 9 баллов включительно по шкале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MSK-64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блок- контейнерную продукцию.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Законодательством не предусмотрено предоставление документов на товар до подписания контракта.</w:t>
      </w:r>
    </w:p>
    <w:p>
      <w:pPr>
        <w:pStyle w:val="Style6"/>
        <w:numPr>
          <w:ilvl w:val="0"/>
          <w:numId w:val="3"/>
        </w:numPr>
        <w:tabs>
          <w:tab w:leader="none" w:pos="103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Модульное здание не является лекарственным препаратом или медицинским оборудованием, в связи с чем требование о предоставлении лицензии федеральной службы по надзору в сфере здравоохранения, для ввода в эксплуатацию и дальнейшего использования Заказчиком оборудования медицинского назначения является незаконным.</w:t>
      </w:r>
    </w:p>
    <w:p>
      <w:pPr>
        <w:pStyle w:val="Style6"/>
        <w:tabs>
          <w:tab w:leader="none" w:pos="718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представил возражения на жалобу, в которых просит признать жалобу необоснованной и указывает, что аукцион проводится в полном соответствии с действующим законодательством (исх. от 31.07.2020</w:t>
        <w:tab/>
        <w:t>б/н). Представители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Уполномоченного органа указали, что оспариваемые требования документации были установлены по настоянию Заказчиков.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рассмотрена посредством видеоконференцсвязи.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У ФАС, рассмотрев представленные материалы и документы, размещенные в единой информационной системе в сфере закупок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в их совокупности установила следующее.</w:t>
      </w:r>
    </w:p>
    <w:p>
      <w:pPr>
        <w:pStyle w:val="Style6"/>
        <w:numPr>
          <w:ilvl w:val="0"/>
          <w:numId w:val="5"/>
        </w:numPr>
        <w:tabs>
          <w:tab w:leader="none" w:pos="201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ЕИС размещено извещение о проведении электронного аукциона №0130200002420002203.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контракта: 18 555 000,00 руб.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Срок окончания подачи заявок: 30.07.2020 8:00.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1 ч. 1 ст. 31 Закона о контрактной системе установлено, что при осуществлении закупки заказчик устанавливает единые требования к участникам закупки об их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6 ч. 5 ст. 63 Закона о контрактной системе в извещении о проведении электронного аукциона должны содержаться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пунктом 1 части 1, частями 2 и 2.1 (при наличии таких требований) статьи 31 настоящего Федерального закона, а также требование, предъявляемое к участникам такого аукциона в соответствии с частью 1.1 (при наличии такого требования) статьи 31 настоящего Федерального закона.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Аналогичные требования к участнику закупки должны находить отражение в документации об аукционе в силу ч. 3 ст. 63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ч. 5 ст. 66 Закона о контрактной системе в составе второй части заявки участника закупки должны находить отражение, в том числе, документы, подтверждающие соответствие его единым требованиям, указанным в п. 1 ч. 1 ст. 31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системному толкованию указанных положений Закона о контрактной системе участник закупки должен соответствовать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 в соответствии со спецификой и содержанием объекта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этом, установление действующим законодательством требований к лицу, выполняющему услугу, фактически означает требование к исполнителю, что порождает для участника закупки обязанность по подтверждению его соответствия указанным требования путем предоставления соответствующих документов на стадии подачи заявок на участие в аукционе.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абз. 3 ч. 1 ст. 49 Гражданского кодекса Российской Федерации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п. 26 раздела I документации электронного аукциона установлено, что вторая часть заявки на участие в аукционе в электронной форме должна содержать следующие документы и сведения, в том числе: 2) документы, подтверждающие соответствие участника аукциона требованиям, установленным в соответствии с законодательством Российской Федерации к лицам, осуществляющим поставку товара (оказание услуг, сопровождающих поставку товара), являющегося объектом закупки, или копии этих документов: лицензия на производство и техническое обслуживание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монтаж и наладка медицинской техники.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17 ч. 1 ст. 12 Федерального закона от 04.05.2011 № 99-ФЗ «О лицензировании отдельных видов деятельности» лицензированию подлежит, в том числе деятельность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в соответствии с постановлением Правительства Российской Федерации от 03.06.2013 № 469 «Положение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техники» лицензируемым видом деятельности в части технического обслуживания медицинской техники является, в том числе монтаж и наладка медицинской техники.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Объектом закупки оспариваемого аукциона является поставка модульных конструкций фельдшерско-акушерского пункта.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Производство и поставка модульных конструкций не является лицензируемым видом деятельности.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П. 18 Информационной карты аукционной документации не устанавливает требований о наличии у участника закупки лицензии федеральной службы по надзору в сфере здравоохранения, для ввода в эксплуатацию и дальнейшего использования Заказчиком оборудования медицинского назначения.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п. 25 и п. 26 Информационной карты аукционной документации указание на необходимость предоставления такой лицензии в составе заявки участника также отсутствует.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требования к участнику закупки установлены законно 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обоснованно.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то же время в Приложении № 3 к Информационной карте аукционной документации (далее - Техническое задание) указано следующее: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«Поставщик осуществляет погрузо-разгрузочные работы, сборку конструкции. Контроль за установкой товара на подготовленную площадку.».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40" w:right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«Прочие условия: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Необходимая документация, предоставляемая Поставщиком до подписания контракта Заказчику: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Копию сертификата соответствия на блочно-модульную продукцию «здания мобильные медицинского назначения» (декларация о соответствии), выданного уполномоченными органами (организациями);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Лицензия федеральной службы по надзору в сфере здравоохранения, для ввода в эксплуатацию и дальнейшего использования Заказчиком оборудования медицинского назначения.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Сертификат соответствия требованиям пожарной безопасности на блок- контейнерную продукцию.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rStyle w:val="CharStyle21"/>
          <w:i w:val="0"/>
          <w:iCs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Сертификат соответствия требованиям сейсмостойкости до 9 баллов включительно по шкале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MSK-64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блок-контейнерную продукцию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Необходимая документация, предоставляемая Поставщиком до момента подписания акта приема-передачи товара: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технический паспорт на здание «модульный фельдшерско-акушерский пункт» (исполнительные схемы внутренних инженерных сетей (отопление, канализация, водоснабжение, электроснабжение, вентиляции), планировочное решение и фасады в осях с АР);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исполнительная схема автоматической пожарно-охранной сигнализации;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руководство по эксплуатации на блочно-модульную продукцию (руководство пользователя) на русском языке.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Лабораторные акты на сопротивление изоляции проводников и на замер контура заземления.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40" w:right="20"/>
      </w:pPr>
      <w:r>
        <w:rPr>
          <w:rStyle w:val="CharStyle21"/>
          <w:i w:val="0"/>
          <w:iCs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Реестр документов на применяемое оборудование и приборы с гарантийными талонами.».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Заказчиков указали на то, что в составе модульных конструкций фельдшерско-акушерского пункта имеется облучатель бактерицидный, в связи с чем установлено требование о предоставлении лицензии федеральной службы по надзору в сфере здравоохранения, для ввода в эксплуатацию и дальнейшего использования Заказчиком оборудования медицинского назначения до подписания контракта.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 ФАС пришла к выводу, что аукционная документация не содержит требований по осуществлению монтажа и вводу в эксплуатацию облучателя бактерицидного.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Бактерицидный облучатель - это устройство, содержащее в качестве источника излучения бактерицидную лампу и предназначенное для обеззараживания воздушной среды или поверхностей в помещении.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Методическими указаниями по применению бактерицидных ламп для обеззараживания воздуха и поверхностей в помещениях, утвержденными Минздравмедпромом РФ от 28.02.1995 № 11-16/03-06 (далее — Методические рекомендации) облучатели, предназначенные для эксплуатации, должны иметь сопровождающую </w:t>
      </w:r>
      <w:r>
        <w:rPr>
          <w:rStyle w:val="CharStyle22"/>
        </w:rPr>
        <w:t xml:space="preserve">документацию,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которой указаны технические характеристики,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тип лампы, бактерицидный поток, срок годности и дата изготовления.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вводе в эксплуатацию и периодически в процессе эксплуатации бактерицидных облучательных установок проводится текущий санитарно - эпидемиологический надзор, в ходе которого определяется соответствие облучательной установки проекту, типы облучателей и ламп, их исправность, режим использования, качество ухода, своевременность замены ламп, прогоревших установленное число часов, а также порядок хранения и утилизации вышедших из строя бактерицидных ламп.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ходе текущего санитарно - эпидемиологического надзора проводится метрологический контроль облученности и дозы облучения в зоне пребывания людей, концентрации озона в воздухе помещения и бактериологический контроль бактерицидной эффективности облучательной установки. Выявленные параметры соотносятся с действующими нормативами и заносятся в журнал регистрации, в котором указываются наименование и назначение помещения, тип и количество бактерицидных облучателей и ламп, время работы облучательной установки, в присутствии или в отсутствии людей проводилось облучение, результаты замеров облученности, бактерицидная эффективность облучения, концентрация озона в воздухе до и после проветривания, фамилия ответственного лица, отвечающего за работу облучательной установки, заключение о разрешении или неразрешении эксплуатации облучательной установки.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Бактерицидные облучатели не используются для лечения и медицинского вмешательства. Законодательство не содержит требования о наличии лицензии на ввод в эксплуатацию и дальнейшее использование облучателей бактерицидных. Тем не менее, производство и реализация данного медицинского изделия подлежит обязательной регистрации в государственном реестре медицинских изделий.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Регистрационное удостоверение на медицинское изделие выдается Федеральной службой по надзору в сфере здравоохранения и дает официальное право выпуска и реализации медицинских изделий.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предоставление в составе сопроводительных документов на бактерицидный облучатель регистрационного удостоверения на данное медицинское изделие является достаточным подтверждением его соответствия установленным требованиям.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3 ст. 33 Закона о контрактной системе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Федеральным законом.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 ФАС пришла к выводу о том, что установление в Техническом задании требования о предоставлении лицензии является нарушением ч.З ст.ЗЗ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Ч. 2 ст. 456 Гражданского кодекса РФ (далее - ГК РФ) предусмотрена обязанность поставщика передать вместе с товаром относящиеся к нему документы.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Требование предоставления сертификатов на товар до подписания контракта, установленное в Техническом задании, противоречит ч. 2 ст. 456 ГК РФ. ч. 3 ст. 83.2 Закона о контрактной системе и п. 3.1.4 проекта контракта, являющегося неотъемлемой частью аукционной документации.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/>
        <w:ind w:left="20" w:right="0"/>
      </w:pPr>
      <w:bookmarkStart w:id="5" w:name="bookmark5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доводы Заявителя признаны обоснованными.</w:t>
      </w:r>
      <w:bookmarkEnd w:id="5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тем, что на стадии подачи и рассмотрения заявок допущенные нарушения не привели к ущемлению прав участников и не повлияли на результаты аукциона, необходимость внесения изменений в документацию о закупке отсутствует.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целью предупреждения возможных нарушений со стороны Заказчиков при заключении контрактов Комиссия У ФАС считает необходимым выдать предписание.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 ч. 15 ст. 99 Закона о контрактной системе Комиссия У ФАС провела внеплановую проверку, по результатам которой иных нарушений при проведении аукциона не установлено.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584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Комиссия У ФАС, руководствуясь ст. 99, ст. 106 Закона о контрактной системе, Административным регламентом,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4" w:line="240" w:lineRule="exact"/>
        <w:ind w:left="4300" w:right="0" w:firstLine="0"/>
      </w:pPr>
      <w:r>
        <w:rPr>
          <w:rStyle w:val="CharStyle25"/>
          <w:b/>
          <w:bCs/>
        </w:rPr>
        <w:t>РЕШИЛА:</w:t>
      </w:r>
    </w:p>
    <w:p>
      <w:pPr>
        <w:pStyle w:val="Style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«Приоритет Инжиниринг» обоснованной.</w:t>
      </w:r>
    </w:p>
    <w:p>
      <w:pPr>
        <w:pStyle w:val="Style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Заказчиков, Уполномоченный орган нарушившими ч.З ст.ЗЗ, ст.64, ч.З ст. 83.2 Закона о контрактной системе.</w:t>
      </w:r>
    </w:p>
    <w:p>
      <w:pPr>
        <w:pStyle w:val="Style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предписание.</w:t>
      </w:r>
    </w:p>
    <w:p>
      <w:pPr>
        <w:pStyle w:val="Style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246" w:line="28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Требование о приостановлении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332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89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6838" w:h="23810"/>
      <w:pgMar w:top="4527" w:left="3726" w:right="2646" w:bottom="490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29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0"/>
      <w:numFmt w:val="decimal"/>
      <w:lvlText w:val="22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8"/>
        <w:szCs w:val="8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 + 10,5 pt"/>
    <w:basedOn w:val="CharStyle4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Заголовок №3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Заголовок №2_"/>
    <w:basedOn w:val="DefaultParagraphFont"/>
    <w:link w:val="Style1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+ 11,5 pt"/>
    <w:basedOn w:val="CharStyle7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 (5)_"/>
    <w:basedOn w:val="DefaultParagraphFont"/>
    <w:link w:val="Style19"/>
    <w:rPr>
      <w:b/>
      <w:bCs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Основной текст (4) + 4 pt,Не курсив"/>
    <w:basedOn w:val="CharStyle18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5">
    <w:name w:val="Основной текст (2) + Интервал 3 pt"/>
    <w:basedOn w:val="CharStyle4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27">
    <w:name w:val="Основной текст (6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24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both"/>
      <w:spacing w:before="240" w:line="29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Заголовок №3"/>
    <w:basedOn w:val="Normal"/>
    <w:link w:val="CharStyle11"/>
    <w:pPr>
      <w:widowControl w:val="0"/>
      <w:shd w:val="clear" w:color="auto" w:fill="FFFFFF"/>
      <w:outlineLvl w:val="2"/>
      <w:spacing w:before="24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jc w:val="center"/>
      <w:outlineLvl w:val="1"/>
      <w:spacing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both"/>
      <w:spacing w:line="295" w:lineRule="exact"/>
      <w:ind w:firstLine="7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both"/>
      <w:spacing w:line="295" w:lineRule="exact"/>
      <w:ind w:firstLine="56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both"/>
      <w:spacing w:line="295" w:lineRule="exact"/>
      <w:ind w:firstLine="560"/>
    </w:pPr>
    <w:rPr>
      <w:b/>
      <w:bCs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both"/>
      <w:outlineLvl w:val="0"/>
      <w:spacing w:line="299" w:lineRule="exact"/>
      <w:ind w:firstLine="7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jc w:val="both"/>
      <w:spacing w:before="180" w:after="360" w:line="205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