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94" w:after="11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rStyle w:val="CharStyle5"/>
          <w:b/>
          <w:bCs/>
        </w:rPr>
        <w:t xml:space="preserve">УПРАВЛЕНИЕ </w:t>
      </w: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6"/>
        <w:widowControl w:val="0"/>
        <w:keepNext w:val="0"/>
        <w:keepLines w:val="0"/>
        <w:shd w:val="clear" w:color="auto" w:fill="auto"/>
        <w:bidi w:val="0"/>
        <w:spacing w:before="0" w:after="240"/>
        <w:ind w:left="0" w:right="0" w:firstLine="0"/>
      </w:pPr>
      <w:r>
        <w:rPr>
          <w:lang w:val="ru-RU" w:eastAsia="ru-RU" w:bidi="ru-RU"/>
          <w:w w:val="100"/>
          <w:spacing w:val="0"/>
          <w:color w:val="000000"/>
          <w:position w:val="0"/>
        </w:rPr>
        <w:t xml:space="preserve">ул. Мира, 27, г. Ханты-Мансийск, 628002 тел. (3467)38-80-81 </w:t>
      </w:r>
      <w:r>
        <w:rPr>
          <w:lang w:val="en-US" w:eastAsia="en-US" w:bidi="en-US"/>
          <w:w w:val="100"/>
          <w:spacing w:val="0"/>
          <w:color w:val="000000"/>
          <w:position w:val="0"/>
        </w:rPr>
        <w:t xml:space="preserve">e-mail: </w:t>
      </w:r>
      <w:r>
        <w:rPr>
          <w:rStyle w:val="CharStyle8"/>
          <w:b/>
          <w:bCs/>
        </w:rPr>
        <w:t>to86@.fas.gov.ru</w:t>
      </w:r>
    </w:p>
    <w:p>
      <w:pPr>
        <w:pStyle w:val="Style9"/>
        <w:widowControl w:val="0"/>
        <w:keepNext w:val="0"/>
        <w:keepLines w:val="0"/>
        <w:shd w:val="clear" w:color="auto" w:fill="auto"/>
        <w:bidi w:val="0"/>
        <w:spacing w:before="0" w:after="0" w:line="230" w:lineRule="exact"/>
        <w:ind w:left="0" w:right="180" w:firstLine="0"/>
      </w:pPr>
      <w:r>
        <w:rPr>
          <w:lang w:val="ru-RU" w:eastAsia="ru-RU" w:bidi="ru-RU"/>
          <w:w w:val="100"/>
          <w:spacing w:val="0"/>
          <w:color w:val="000000"/>
          <w:position w:val="0"/>
        </w:rPr>
        <w:t>2020 № 03/ТИ-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 "РТС-тендер"</w:t>
      </w:r>
    </w:p>
    <w:p>
      <w:pPr>
        <w:pStyle w:val="Style9"/>
        <w:widowControl w:val="0"/>
        <w:keepNext w:val="0"/>
        <w:keepLines w:val="0"/>
        <w:shd w:val="clear" w:color="auto" w:fill="auto"/>
        <w:bidi w:val="0"/>
        <w:jc w:val="left"/>
        <w:spacing w:before="0" w:after="0" w:line="274" w:lineRule="exact"/>
        <w:ind w:left="20" w:right="1100" w:firstLine="0"/>
      </w:pPr>
      <w:r>
        <w:rPr>
          <w:lang w:val="ru-RU" w:eastAsia="ru-RU" w:bidi="ru-RU"/>
          <w:w w:val="100"/>
          <w:spacing w:val="0"/>
          <w:color w:val="000000"/>
          <w:position w:val="0"/>
        </w:rPr>
        <w:t xml:space="preserve">121151, г. Москва, набережная Тараса Шевченко, </w:t>
      </w:r>
      <w:r>
        <w:rPr>
          <w:rStyle w:val="CharStyle11"/>
        </w:rPr>
        <w:t xml:space="preserve">Д.23А </w:t>
      </w:r>
      <w:r>
        <w:rPr>
          <w:lang w:val="ru-RU" w:eastAsia="ru-RU" w:bidi="ru-RU"/>
          <w:w w:val="100"/>
          <w:spacing w:val="0"/>
          <w:color w:val="000000"/>
          <w:position w:val="0"/>
        </w:rPr>
        <w:t xml:space="preserve">тел.: (495)7339519, (800) 7755800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rPr>
          <w:rStyle w:val="CharStyle12"/>
        </w:rPr>
        <w:t>Заявитель:</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«ШЕЛДОНФАРМА»</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197372, г. Санкт-Петербург, проспект</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Богатырский, д.29 к. 1, 181</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7(812) 925 23 41</w:t>
      </w:r>
    </w:p>
    <w:p>
      <w:pPr>
        <w:pStyle w:val="Style9"/>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rStyle w:val="CharStyle13"/>
        </w:rPr>
        <w:instrText> HYPERLINK "mailto:pro@sheldonpharma.com" </w:instrText>
      </w:r>
      <w:r>
        <w:fldChar w:fldCharType="separate"/>
      </w:r>
      <w:r>
        <w:rPr>
          <w:rStyle w:val="Hyperlink"/>
          <w:lang w:val="en-US" w:eastAsia="en-US" w:bidi="en-US"/>
        </w:rPr>
        <w:t>pro@sheldonpharma.com</w:t>
      </w:r>
      <w:r>
        <w:fldChar w:fldCharType="end"/>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9"/>
        <w:widowControl w:val="0"/>
        <w:keepNext w:val="0"/>
        <w:keepLines w:val="0"/>
        <w:shd w:val="clear" w:color="auto" w:fill="auto"/>
        <w:bidi w:val="0"/>
        <w:jc w:val="left"/>
        <w:spacing w:before="0" w:after="0" w:line="274" w:lineRule="exact"/>
        <w:ind w:left="20" w:right="40" w:firstLine="0"/>
        <w:sectPr>
          <w:footnotePr>
            <w:pos w:val="pageBottom"/>
            <w:numFmt w:val="decimal"/>
            <w:numRestart w:val="continuous"/>
          </w:footnotePr>
          <w:type w:val="continuous"/>
          <w:pgSz w:w="11906" w:h="16838"/>
          <w:pgMar w:top="307" w:left="1134" w:right="1364" w:bottom="542" w:header="0" w:footer="3" w:gutter="0"/>
          <w:rtlGutter w:val="0"/>
          <w:cols w:num="2" w:space="720" w:equalWidth="0">
            <w:col w:w="3912" w:space="470"/>
            <w:col w:w="5026"/>
          </w:cols>
          <w:noEndnote/>
          <w:docGrid w:linePitch="360"/>
        </w:sectPr>
      </w:pPr>
      <w:r>
        <w:rPr>
          <w:lang w:val="ru-RU" w:eastAsia="ru-RU" w:bidi="ru-RU"/>
          <w:w w:val="100"/>
          <w:spacing w:val="0"/>
          <w:color w:val="000000"/>
          <w:position w:val="0"/>
        </w:rPr>
        <w:t xml:space="preserve">Казенное учреждение Ханты-Мансийского автономного округа-Югры «Сургутский клинический противотуберкулезный диспансер» 628456, Ханты-Мансийский автономный округ- Югра, г. Сургут, Тюменский тракт, 27 Тел.: +7(3462) 21-90-00 </w:t>
      </w:r>
      <w:r>
        <w:rPr>
          <w:lang w:val="en-US" w:eastAsia="en-US" w:bidi="en-US"/>
          <w:w w:val="100"/>
          <w:spacing w:val="0"/>
          <w:color w:val="000000"/>
          <w:position w:val="0"/>
        </w:rPr>
        <w:t xml:space="preserve">e-mail: </w:t>
      </w:r>
      <w:r>
        <w:fldChar w:fldCharType="begin"/>
      </w:r>
      <w:r>
        <w:rPr>
          <w:rStyle w:val="CharStyle13"/>
        </w:rPr>
        <w:instrText> HYPERLINK "mailto:hmaotd@surguttub.ru" </w:instrText>
      </w:r>
      <w:r>
        <w:fldChar w:fldCharType="separate"/>
      </w:r>
      <w:r>
        <w:rPr>
          <w:rStyle w:val="Hyperlink"/>
          <w:lang w:val="en-US" w:eastAsia="en-US" w:bidi="en-US"/>
        </w:rPr>
        <w:t>hmaotd@surguttub</w:t>
      </w:r>
      <w:r>
        <w:rPr>
          <w:rStyle w:val="Hyperlink"/>
        </w:rPr>
        <w:t>.</w:t>
      </w:r>
      <w:r>
        <w:rPr>
          <w:rStyle w:val="Hyperlink"/>
          <w:lang w:val="en-US" w:eastAsia="en-US" w:bidi="en-US"/>
        </w:rPr>
        <w:t>ru</w:t>
      </w:r>
      <w:r>
        <w:fldChar w:fldCharType="end"/>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08" w:line="230" w:lineRule="exact"/>
        <w:ind w:left="0" w:right="0" w:firstLine="0"/>
      </w:pPr>
      <w:r>
        <w:rPr>
          <w:lang w:val="ru-RU" w:eastAsia="ru-RU" w:bidi="ru-RU"/>
          <w:w w:val="100"/>
          <w:spacing w:val="0"/>
          <w:color w:val="000000"/>
          <w:position w:val="0"/>
        </w:rPr>
        <w:t xml:space="preserve">РЕШЕНИЕ </w:t>
      </w:r>
      <w:r>
        <w:rPr>
          <w:lang w:val="en-US" w:eastAsia="en-US" w:bidi="en-US"/>
          <w:w w:val="100"/>
          <w:spacing w:val="0"/>
          <w:color w:val="000000"/>
          <w:position w:val="0"/>
        </w:rPr>
        <w:t xml:space="preserve">№ </w:t>
      </w:r>
      <w:r>
        <w:rPr>
          <w:lang w:val="ru-RU" w:eastAsia="ru-RU" w:bidi="ru-RU"/>
          <w:w w:val="100"/>
          <w:spacing w:val="0"/>
          <w:color w:val="000000"/>
          <w:position w:val="0"/>
        </w:rPr>
        <w:t>086/06/33-1289/2020</w:t>
      </w:r>
    </w:p>
    <w:p>
      <w:pPr>
        <w:pStyle w:val="Style9"/>
        <w:tabs>
          <w:tab w:leader="none" w:pos="7964"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Резолютивная часть объявлена 31.07.2020</w:t>
        <w:tab/>
        <w:t>г. Ханты-Мансийск</w:t>
      </w:r>
    </w:p>
    <w:p>
      <w:pPr>
        <w:pStyle w:val="Style9"/>
        <w:widowControl w:val="0"/>
        <w:keepNext w:val="0"/>
        <w:keepLines w:val="0"/>
        <w:shd w:val="clear" w:color="auto" w:fill="auto"/>
        <w:bidi w:val="0"/>
        <w:jc w:val="both"/>
        <w:spacing w:before="0" w:after="240" w:line="274" w:lineRule="exact"/>
        <w:ind w:left="20" w:right="0" w:firstLine="0"/>
      </w:pPr>
      <w:r>
        <w:rPr>
          <w:lang w:val="ru-RU" w:eastAsia="ru-RU" w:bidi="ru-RU"/>
          <w:w w:val="100"/>
          <w:spacing w:val="0"/>
          <w:color w:val="000000"/>
          <w:position w:val="0"/>
        </w:rPr>
        <w:t>Изготовлено в полном объеме 03.08.2020</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Председателя комиссии:</w:t>
      </w:r>
    </w:p>
    <w:p>
      <w:pPr>
        <w:pStyle w:val="Style9"/>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Миронов А.Г. - Заместитель руководителя Управления;</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Членов комиссии:</w:t>
      </w:r>
    </w:p>
    <w:p>
      <w:pPr>
        <w:pStyle w:val="Style9"/>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Атнагулов Ю.Д.- Государственный инспектор отдела Управления;</w:t>
      </w:r>
    </w:p>
    <w:p>
      <w:pPr>
        <w:pStyle w:val="Style9"/>
        <w:numPr>
          <w:ilvl w:val="0"/>
          <w:numId w:val="1"/>
        </w:numPr>
        <w:widowControl w:val="0"/>
        <w:keepNext w:val="0"/>
        <w:keepLines w:val="0"/>
        <w:shd w:val="clear" w:color="auto" w:fill="auto"/>
        <w:bidi w:val="0"/>
        <w:jc w:val="both"/>
        <w:spacing w:before="0" w:after="120" w:line="274" w:lineRule="exact"/>
        <w:ind w:left="20" w:right="0" w:firstLine="720"/>
      </w:pPr>
      <w:r>
        <w:rPr>
          <w:lang w:val="ru-RU" w:eastAsia="ru-RU" w:bidi="ru-RU"/>
          <w:w w:val="100"/>
          <w:spacing w:val="0"/>
          <w:color w:val="000000"/>
          <w:position w:val="0"/>
        </w:rPr>
        <w:t xml:space="preserve"> Бычков И.Т. - Государственный инспектор отдела Управления,</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от Заявителя - посредством видеоконференц-связи Попов Н.А. по доверенности №б/н от 23.07.2020г., Родин А.А. по доверенности №б/н от 17.04.2020г.;</w:t>
      </w:r>
    </w:p>
    <w:p>
      <w:pPr>
        <w:pStyle w:val="Style9"/>
        <w:widowControl w:val="0"/>
        <w:keepNext w:val="0"/>
        <w:keepLines w:val="0"/>
        <w:shd w:val="clear" w:color="auto" w:fill="auto"/>
        <w:bidi w:val="0"/>
        <w:jc w:val="both"/>
        <w:spacing w:before="0" w:after="120" w:line="274" w:lineRule="exact"/>
        <w:ind w:left="20" w:right="20" w:firstLine="720"/>
      </w:pPr>
      <w:r>
        <w:rPr>
          <w:lang w:val="ru-RU" w:eastAsia="ru-RU" w:bidi="ru-RU"/>
          <w:w w:val="100"/>
          <w:spacing w:val="0"/>
          <w:color w:val="000000"/>
          <w:position w:val="0"/>
        </w:rPr>
        <w:t>от Заказчика - посредством видеоконференц-связи Зинина Ж.В. по доверенности №8/20 от 12.02.2020г.;</w:t>
      </w:r>
    </w:p>
    <w:p>
      <w:pPr>
        <w:pStyle w:val="Style9"/>
        <w:widowControl w:val="0"/>
        <w:keepNext w:val="0"/>
        <w:keepLines w:val="0"/>
        <w:shd w:val="clear" w:color="auto" w:fill="auto"/>
        <w:bidi w:val="0"/>
        <w:jc w:val="both"/>
        <w:spacing w:before="0" w:after="275" w:line="274" w:lineRule="exact"/>
        <w:ind w:left="20" w:right="20" w:firstLine="720"/>
      </w:pPr>
      <w:r>
        <w:rPr>
          <w:lang w:val="ru-RU" w:eastAsia="ru-RU" w:bidi="ru-RU"/>
          <w:w w:val="100"/>
          <w:spacing w:val="0"/>
          <w:color w:val="000000"/>
          <w:position w:val="0"/>
        </w:rPr>
        <w:t>рассмотрев жалобу от ООО «ШЕЛДОНФАРМА» (ИНН 7814525419 ОГРН: 1127847053180) от 24.07.2020 №1554-ж на действия Заказчика — Казенное учреждение Ханты-Мансийского автономного округа-Югры «Сургутский клинический противотуберкулезный диспансер», при проведении электронного аукциона предметом, которого является поставка витаминно</w:t>
        <w:softHyphen/>
        <w:t xml:space="preserve">минерального комплекса (ВМК) (извещение № 0387200006320000077)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208" w:line="230" w:lineRule="exact"/>
        <w:ind w:left="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«ШЕЛДОНФАРМА» (ИНН 7814525419 ОГРН: 1127847053180) от 24.07.2020 №1554-ж на действия Заказчика при проведении электронного аукциона (извещение № 038720000632000007).</w:t>
      </w:r>
      <w:r>
        <w:br w:type="page"/>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доводах жалобы Заявитель указал следующее:</w:t>
      </w:r>
    </w:p>
    <w:p>
      <w:pPr>
        <w:pStyle w:val="Style9"/>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Требование о предоставлении сертификата соответствия, декларации о соответствии или предоставления иных документов, подтверждающих качество товара, оформленным в порядке, установленном законодательством Российской Федерации (кроме свидетельства о государственной регистрации), является незаконным.</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Также, требование о предоставлении протокола о клинических испытаниях с доказанными лечебными свойствами также является незаконным, поскольку в соответствии с ч.2 ст.10 ТР ТС 027/2012 при государственной регистрации продукции диетического лечебного и диетического профилактического питания предоставляется документ(ы), подтверждающий(е) заявленные лечебные и (или) профилактические свойства. Соответственно без подтверждения заявленных лечебных и профилактических свойств СГР не выдается.</w:t>
      </w:r>
    </w:p>
    <w:p>
      <w:pPr>
        <w:pStyle w:val="Style9"/>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Заказчик, устанавливая требование о количестве и перечне витаминов и минеральных веществ, необоснованно ограничивает конкуренцию</w:t>
      </w:r>
    </w:p>
    <w:p>
      <w:pPr>
        <w:pStyle w:val="Style9"/>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В соответствии с частью 1 статьи 33 Федерального закона № 44-ФЗ в описание объекта закупки не должны включаться требования, которые влекут за собой ограничение числа участников закупки. Поэтому упоминание о расфасовке товара можно включать в документацию, только если в этом есть необходимость, поскольку сама по себе упаковка (фасовка) не определяет свойства и качество товара (не является ни технической, ни качественной ни функциональной характеристикой, на которые указывает статья 33 Федерального закона № 44-ФЗ). В данном случае товар с одними и теми же свойствами может быть поставлен Заказчику в иной упаковке. При таких обстоятельствах ограничение веса упаковки, безусловно, относится к тем требованиям, которые ограничивают число участников закупки и являются недопустимыми. Между тем, на рынке имеются витаминно-минеральные комплексы, являющиеся специализированными продуктами и имеющими доказанный клинический эффект, но иную упаковку.</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нарушение части 1 статьи 33 Закона о контрактной системе соответствующее обоснование включения в описание объекта закупки вышеуказанных требований к упаковке (фасовке) в документации отсутствует.</w:t>
      </w:r>
    </w:p>
    <w:p>
      <w:pPr>
        <w:pStyle w:val="Style9"/>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В аукционной документации Заказчиком указаны не соответствующие требованиям приказа № 395н характеристики товара, которые не обоснованно ограничивают конкуренцию.</w:t>
      </w:r>
    </w:p>
    <w:p>
      <w:pPr>
        <w:pStyle w:val="Style9"/>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Заказчиком незаконно установлено требование о соответствии закупаемого товара ГОСТ Р 57106-2016, поскольку по смыслу приведенных в жалобе норм действующего законодательства, требования к витаминно-минеральному комплексу должны быть установлены в соответствии с ТР ТС 021/2011, ТР ТС 027/2012, Приказом № 330 и Приказом №395н.</w:t>
      </w:r>
    </w:p>
    <w:p>
      <w:pPr>
        <w:pStyle w:val="Style9"/>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Также Заказчик установил необоснованное требование о соответствии закупаемой продукции ГОСТ 58040-2017.</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настоящее время ВМК для обогащения блюд диетического лечебного и диетического профилактического питания в медицинских организациях, выпускаемые по ГОСТ 58040-2017, на рынке отсутствует.</w:t>
      </w:r>
    </w:p>
    <w:p>
      <w:pPr>
        <w:pStyle w:val="Style9"/>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Определенные вышеуказанным образом в жалобе условия проекта контракта о поставке товара по заявкам заказчика не позволяют однозначно понять, каким образом поставщик должен исполнить свои обязательства по поставке товара в полном объеме, если заказчик своевременно не направит соответствующие заявки.</w:t>
      </w:r>
    </w:p>
    <w:p>
      <w:pPr>
        <w:pStyle w:val="Style3"/>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9"/>
        <w:numPr>
          <w:ilvl w:val="0"/>
          <w:numId w:val="5"/>
        </w:numPr>
        <w:tabs>
          <w:tab w:leader="none" w:pos="1141"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пункта 3 части 5 статьи 66 Закона о контрактной системе вторая часть заявки на участие в электронном аукционе должна содержать следующие документы и информацию:</w:t>
      </w:r>
    </w:p>
    <w:p>
      <w:pPr>
        <w:pStyle w:val="Style9"/>
        <w:numPr>
          <w:ilvl w:val="0"/>
          <w:numId w:val="7"/>
        </w:numPr>
        <w:tabs>
          <w:tab w:leader="none" w:pos="1141" w:val="left"/>
        </w:tabs>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Комиссия Управления, изучив материалы дела, установила, что в пункте 23 Раздела I «Сведения о проводимом электронном аукционе» аукционной документации указано, что вторая часть заявки на участие в электронном аукционе должна содержать документы и информацию, в том числе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требуются копии документов, подтверждающих государственную регистрацию товара (требование установлено статьей 24 Технического регламента Таможенного союза ТР ТС 021/2011 «О безопасности пищевой продукции», принятого решением Комиссии Таможенного союза от 09.12.2011 № 880)»</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Кроме того, в пункте 3.5 проекта контракта указано следующее:</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При этом, Комиссия Управления поясняет, что указание в Техническом задании на требования «...Поставляемый товар должен быть надлежащим образом сертифицирован в соответствии с постановлением Правительства Российской Федерации от 01.12.2009 № 982 «Об утверждении единого перечня продукции, подлежащей обязательной сертификации, единого перечня продукции, подтверждение соответствия которой осуществляется в форме принятии декларации о соответствии...» «...Наличие протокола о клинических испытаниях с доказанными лечебными свойствами...», на которые ссылается Заявитель в своей жалобе, не противоречат данному пункту 23 Информационной карты электронного аукциона, а наоборот, находятся в тесной взаимосвязи.</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В соответствии с Письмом Роспотребнадзора от 13.01.2015 </w:t>
      </w:r>
      <w:r>
        <w:rPr>
          <w:lang w:val="en-US" w:eastAsia="en-US" w:bidi="en-US"/>
          <w:w w:val="100"/>
          <w:spacing w:val="0"/>
          <w:color w:val="000000"/>
          <w:position w:val="0"/>
        </w:rPr>
        <w:t xml:space="preserve">N </w:t>
      </w:r>
      <w:r>
        <w:rPr>
          <w:lang w:val="ru-RU" w:eastAsia="ru-RU" w:bidi="ru-RU"/>
          <w:w w:val="100"/>
          <w:spacing w:val="0"/>
          <w:color w:val="000000"/>
          <w:position w:val="0"/>
        </w:rPr>
        <w:t>01/160-15-29 «О дополнительных разъяснениях и рекомендациях при соблюдении требований к условиям обращения пищевой продукции на потребительском рынке и документам, подтверждающим ее соответствие» (Приложение № 1) до 15 февраля 2015 года допускается производство и выпуск в обращение продукции (за исключением мясной и молочной продукции) в соответствии с обязательными требованиями, ранее установленными нормативными правовыми актами Таможенного союза или законодательством государства - члена Таможенного союза, при наличии документов об оценке (подтверждении) соответствия продукции (декларация о соответствии, сертификат соответствия, свидетельство о государственной регистрации) указанным обязательным требованиям, выданных или принятых до дня вступления в силу Технического регламента. Таким образом, произведенная до 15 февраля 2015 года продукция, имеющая документы о подтверждении (оценке) ее соответствия ранее установленным требованиям, может находиться в обращении и после 15 февраля 2015 года до конца срока ее годности. Данная продукция должна сопровождаться ранее выданными разрешительными документами. Получение новых разрешительных документов на такую продукцию не требуется.</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Таким образом, Заказчик предусмотрел, что оборотом допускается нахождение товара в обращении, который имел бы выданные в соответствии с законодательством РФ до вступления в законную силу Технического регламента Таможенного союза ТР ТС 021/2011 документы (сертификаты, декларации и т.п.), подтверждающие соответствие такого Товара. И именной поэтому Заказчик установил в Информационной карте требование о том, что требование сертификатов соответствия запрещено, если участник в соответствии со статьёй 24 Технического регламента Таможенного союза ТР ТС 021/2011 «О безопасности пищевой продукции», принятого решением Комиссии Таможенного союза от 09.12.2011 № 880» обязан предоставить свидетельство о государственной регистрации (СГР).</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 основании вышеизложенного довод Заявителя является необоснованным.</w:t>
      </w:r>
    </w:p>
    <w:p>
      <w:pPr>
        <w:pStyle w:val="Style9"/>
        <w:numPr>
          <w:ilvl w:val="0"/>
          <w:numId w:val="5"/>
        </w:numPr>
        <w:tabs>
          <w:tab w:leader="none" w:pos="1114"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Относительно второго довода жалобы Комиссия Управления поясняет следующее.</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соответствии с пунктами 1-2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numPr>
          <w:ilvl w:val="0"/>
          <w:numId w:val="9"/>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numPr>
          <w:ilvl w:val="0"/>
          <w:numId w:val="9"/>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Комиссия Управления изучив техническое задание Заказчика, установила, что закупаемый Товар должен соответствовать по техническим и качественным характеристикам в том числе и ГОСТ Р 57106-2016 Национальный стандарт Российской Федерации. Продукты диетического лечебного и диетического профилактического питания. Комплексы витаминно-минеральные в лечебном питании. Технические условия.</w:t>
      </w:r>
    </w:p>
    <w:p>
      <w:pPr>
        <w:pStyle w:val="Style9"/>
        <w:tabs>
          <w:tab w:leader="none" w:pos="7476" w:val="left"/>
          <w:tab w:leader="none" w:pos="10293" w:val="right"/>
        </w:tabs>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Кроме того, поскольку Заказчик обязан на основании</w:t>
        <w:tab/>
        <w:t>вышеизложенной</w:t>
        <w:tab/>
        <w:t>нормы</w:t>
      </w:r>
    </w:p>
    <w:p>
      <w:pPr>
        <w:pStyle w:val="Style9"/>
        <w:tabs>
          <w:tab w:leader="none" w:pos="751" w:val="left"/>
        </w:tabs>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руководствоваться требованиями ГОСТа Р 57106-2016, то он и установил показатели в Техническом задании в соответствии с ГОСТ Р 57106-2016, то есть те витамины и минералы, а также</w:t>
        <w:tab/>
        <w:t>их количество, которые указаны в ГОСТ Р 57106-2016.</w:t>
      </w:r>
    </w:p>
    <w:p>
      <w:pPr>
        <w:pStyle w:val="Style9"/>
        <w:tabs>
          <w:tab w:leader="none" w:pos="10293" w:val="right"/>
        </w:tabs>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В следствии чего, никакого обоснования необходимости использования</w:t>
        <w:tab/>
        <w:t>других</w:t>
      </w:r>
    </w:p>
    <w:p>
      <w:pPr>
        <w:pStyle w:val="Style9"/>
        <w:tabs>
          <w:tab w:leader="none" w:pos="630" w:val="center"/>
          <w:tab w:leader="none" w:pos="7449" w:val="left"/>
        </w:tabs>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показателей, требований, условных обозначений и терминологии у Заказчика не было. Приказ 395н не устанавливает требования к полному перечню витаминов и минеральных веществ. ГОСТ Р</w:t>
        <w:tab/>
        <w:t>57106-2016 является единственным нормативным правовым</w:t>
        <w:tab/>
        <w:t>актом, устанавливающий</w:t>
      </w:r>
    </w:p>
    <w:p>
      <w:pPr>
        <w:pStyle w:val="Style9"/>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требования к составу витаминно-минерального комплекса.</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Таким образом, Комиссия Управления пришла к выводу, что довод Заявителя является необоснованным.</w:t>
      </w:r>
    </w:p>
    <w:p>
      <w:pPr>
        <w:pStyle w:val="Style9"/>
        <w:numPr>
          <w:ilvl w:val="0"/>
          <w:numId w:val="5"/>
        </w:numPr>
        <w:tabs>
          <w:tab w:leader="none" w:pos="1115" w:val="left"/>
        </w:tabs>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Относительно третьего довода жалобы Комиссия Управления поясняет следующее.</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соответствии с пунктом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numPr>
          <w:ilvl w:val="0"/>
          <w:numId w:val="11"/>
        </w:numPr>
        <w:tabs>
          <w:tab w:leader="none" w:pos="1115" w:val="left"/>
        </w:tabs>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Комиссия Управления установила, что Заказчик установил на основании пункта 2 части 1 статьи 33 Закона о контрактной системе, в соответствии с тем же установленным им в Техническом задании ГОСТом Р 57106-2016, а именно пункт 4.7.4 (ВМК фасуют: Масса нетто в пакете - от 10,0 до 500,0 г.).</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Также, формирование заявки в потребности ВМК на 2020 год было выполнено с учетом ежедневного изменения количества больных, нуждающихся в питании ВМК. Данный расчет составляется ежедневно, в зависимости от количества больных в текущий день на питание.</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На основании вышеизложенного, запрашиваемая в заявке фасовка ВМК 10 г необходима для рационального использования (для исключения хранения продукта во вскрытой упаковке), так как оценить качество продукта во вскрытой упаковке не представляет возможности. С целью рационального использования бюджетных средств экономически целесообразней использовать ВМК в фасовке Юг. Вес единичной упаковки обусловлен условиями работы и небольшим количеством пациентов в медицинской организации.</w:t>
      </w:r>
    </w:p>
    <w:p>
      <w:pPr>
        <w:pStyle w:val="Style9"/>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Таким образом, довод Заявителя не нашёл своего подтверждения.</w:t>
      </w:r>
    </w:p>
    <w:p>
      <w:pPr>
        <w:pStyle w:val="Style9"/>
        <w:numPr>
          <w:ilvl w:val="0"/>
          <w:numId w:val="5"/>
        </w:numPr>
        <w:tabs>
          <w:tab w:leader="none" w:pos="1125" w:val="left"/>
        </w:tabs>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Относительно четвёртого довода жалобы Комиссия Управления поясняет следующее.</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В соответствии с пунктом 6 части 5 статьи 19 Федерального закона от 21.11.2011 № 323-ФЗ «Об основах охраны здоровья граждан в Российской Федерации» (далее - Закон об основах охраны здоровья граждан) Пациент имеет право на:</w:t>
      </w:r>
    </w:p>
    <w:p>
      <w:pPr>
        <w:pStyle w:val="Style9"/>
        <w:numPr>
          <w:ilvl w:val="0"/>
          <w:numId w:val="13"/>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выбор врача и выбор медицинской организации в соответствии с настоящим Федеральным законом;</w:t>
      </w:r>
    </w:p>
    <w:p>
      <w:pPr>
        <w:pStyle w:val="Style9"/>
        <w:numPr>
          <w:ilvl w:val="0"/>
          <w:numId w:val="13"/>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профилактику, диагностику, лечение, медицинскую реабилитацию в медицинских организациях в условиях, соответствующих санитарно-гигиеническим требованиям;</w:t>
      </w:r>
    </w:p>
    <w:p>
      <w:pPr>
        <w:pStyle w:val="Style9"/>
        <w:numPr>
          <w:ilvl w:val="0"/>
          <w:numId w:val="13"/>
        </w:numPr>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 xml:space="preserve"> получение консультаций врачей-специалистов;</w:t>
      </w:r>
    </w:p>
    <w:p>
      <w:pPr>
        <w:pStyle w:val="Style9"/>
        <w:numPr>
          <w:ilvl w:val="0"/>
          <w:numId w:val="13"/>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части 1 статьи 39 Закона об основах охраны здоровья граждан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Нормы лечебного питания закреплены в приказе Минздрава России от 05.08.2003 № 330 «О мерах по совершенствованию лечебного питания в лечебно-профилактических учреждениях Российской Федерации», и приказе Минздрава России от 21.06.2013 № 395н «Об утверждении норм лечебного питания».</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вышеназванных приказов в рацион лечебного диетического и диетического профилактического питания вводятся в зависимости от вида диеты, применяемой в медицинском учреждении, различное количество ВМК.</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Согласно разделу II «Техническое задание» Заказчиком установлено, что предлагаемый участниками товар должен обеспечивать суточную потребность витаминов и минералов от физиологической нормы от 75% до 100%. Требование установлено в целях соблюдения требований норм лечебного питания при соблюдении диеты с повышенным количеством белка (высокобелковая диета).</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Приказом Минздрава РФ от 21.06.2013 № 395н «Об утверждении норм лечебного питания» (далее - Приказ 395н) установлено, что одна порция ВМК должна обеспечивать 50-100 % от физиологической нормы суточного потребления витаминов и минералов. Указанная в приказе количественная норма, является усредненной суточной нормой.</w:t>
      </w:r>
    </w:p>
    <w:p>
      <w:pPr>
        <w:pStyle w:val="Style9"/>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Кроме того, в силу статьи 37 Закона об основах охраны здоровья граждан медицинская помощь организуется и оказывается в соответствии с порядками оказания медицинской помощи, обязательными для исполнения на территории Российской Федерации всеми медицинскими организациями.</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Таким образом, Комиссия Управления поясняет, что деятельность Заказчиков по выбору вариантов диет, предусмотренных приказами Минздрава России, а также методики проводимых расчетов содержания витаминов в исходных пищевых продуктах не относятся к положениям документации об аукционе и не обязывает Заказчиков давать каких-либо разъяснений.</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соответствии с «Приложением Б (обязательное). Рекомендации по использованию и способу приготовления ВМК» того же ГОСТа Р 57106-2016 при введении ВМК как составной части рецептуры на стадии приготовления блюда из расчета на порцию 1 г ВМК для взрослых и 0,6 г ВМК для детей. Данный показатель (расчет на порцию 1 г. ВМК для взрослого) и был использован Заказчиком при описании объекта Закупки.</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Приказ Министерства здравоохранения Российской Федерации от 21.06.2013 № 395н содержит требования к витаминно- минеральному комплексу с указанием % от физиологической нормы суточного потребления, а ГОСТ Р 57106-2016 устанавливает требования к содержанию в одной порции % от рекомендуемого уровня суточного потребления каждого из витаминов, которые входят в витаминно- минеральный комплекс.</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Заказчиком использовались при описании объекта закупки только требования, установленного им в соответствии с пунктом 2 части 1 статьи 33 Закона о контрактной системе, ГОСТа Р 57106-2016 Национальный стандарт Российской Федерации. Продукты диетического лечебного и диетического профилактического питания. Комплексы витаминно-минеральные в лечебном питании. Технические условия.</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Таким образом, действующее законодательство РФ не запрещает закупать продукцию, изготовленную в соответствии с Национальным стандартом. Более того, если заказчиком не используются, установленные в соответствии с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На основании изложенного, Комиссия Управления приходит к выводу, что довод Заявителя является необоснованным.</w:t>
      </w:r>
    </w:p>
    <w:p>
      <w:pPr>
        <w:pStyle w:val="Style9"/>
        <w:numPr>
          <w:ilvl w:val="0"/>
          <w:numId w:val="5"/>
        </w:numPr>
        <w:tabs>
          <w:tab w:leader="none" w:pos="1095"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Относительно пятого довода жалобы Комиссия Управления поясняет следующее.</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соответствии с пунктом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numPr>
          <w:ilvl w:val="0"/>
          <w:numId w:val="15"/>
        </w:numPr>
        <w:tabs>
          <w:tab w:leader="none" w:pos="1095" w:val="left"/>
        </w:tabs>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Таким образом, действующее законодательство РФ не запрещает закупать продукцию, изготовленную в соответствии с Национальным стандартом. Более того, если заказчиком не используются, установленные в соответствии с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Приказом Минздрава РФ от 21.06.2013 № 395н «Об утверждении норм лечебного питания» (далее - Приказ 395н) установлено, что одна порция ВМК должна обеспечивать 50-100 % от физиологической нормы суточного потребления витаминов и минералов. Указанная в приказе количественная норма, является усредненной суточной нормой.</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соответствии с пунктом 3.1. ГОСТ Р 57106-2016 и ГОСТ Р 58040-2017 - витаминно</w:t>
        <w:softHyphen/>
        <w:t>минеральные комплексы в лечебном питании: Специализированные пищевые продукты, представляющие собой порошкообразные смеси, с содержанием витаминов от 50% до 100% от физиологической нормы, изготовленные на основе вещества-носителя с добавлением витаминов, йода, железа и других минеральных веществ.</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ГОСТ Р 57106-2016 и ГОСТ Р 58040-2017 разрабатывались и приняты на основании Приказу 395н, который был принят ранее ГОСТов. Поэтому данные ГОСТы не могут противоречить Приказу 395н, и тем более ограничивать конкуренцию. Заказчик не может считаться нарушившим требования Закона о контрактной системе, в ситуации, когда он воспользовался действующим ГОСТами для описания объекта закупки.</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Комиссия Управления изучив материалы дела, также установила, что при составлении документации Заказчиком был проведен анализ ценовых предложений, и в ответ на запросы получено более 3-х коммерческих предложений от поставщиков из разных регионов Российской Федерации, предлагающих продукцию с нужными заказчику характеристиками.</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Кроме того, требования, установленные Заказчиком в техническом задании, не ведут к ограничению количества участников, так как данная продукция имеется в открытой продаже на всей территории Российской Федерации различными компаниями, и позволяет принять участие в закупке неограниченному кругу хозяйствующих субъектов.</w:t>
      </w:r>
    </w:p>
    <w:p>
      <w:pPr>
        <w:pStyle w:val="Style9"/>
        <w:widowControl w:val="0"/>
        <w:keepNext w:val="0"/>
        <w:keepLines w:val="0"/>
        <w:shd w:val="clear" w:color="auto" w:fill="auto"/>
        <w:bidi w:val="0"/>
        <w:jc w:val="both"/>
        <w:spacing w:before="0" w:after="0" w:line="274" w:lineRule="exact"/>
        <w:ind w:left="20" w:right="40" w:firstLine="840"/>
      </w:pPr>
      <w:r>
        <w:rPr>
          <w:lang w:val="ru-RU" w:eastAsia="ru-RU" w:bidi="ru-RU"/>
          <w:w w:val="100"/>
          <w:spacing w:val="0"/>
          <w:color w:val="000000"/>
          <w:position w:val="0"/>
        </w:rPr>
        <w:t>Предметом электронного аукциона является поставка товара, а не изготовление предмета закупки, поэтому участником закупки могло выступать любое юридическое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Кроме того, согласно определению Верховного Суда Российской Федерации от 04.05.2017 по делу № А08-1545/2016 «...Основой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Таким образом, Комиссия Управления поясняет, что указание в документации об аукционе характеристик товара, и иные показатели, поставляемого для нужд учреждений, предусмотрено законодательством и не влечет нарушение антимонопольного законодательства. Кроме того, действующее законодательство не накладывает на Заказчика при размещении заказа на поставку товаров обязанность учитывать интересы каждого участника рынка, осуществляющего реализацию товаров данной группы. Отсутствие на момент размещения заказа у отдельных юридических и физических лиц, занимающихся реализацией Витаминно-минеральными комплексами с заявленными Заказчиком характеристиками, не является нарушением прав и законных интересов таких лиц, а также не является ограничением конкуренции. Закон о контрактной системе не содержит как норм, ограничивающих право Заказчика включать в документацию об аукционе требования к объекту закупки, которые являются для него значимыми, так и норм, обязывающих Заказчика устанавливать в этой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Закупка и использование в медицинских учреждениях ВМК, запрещенных к применению, а также не соответствующих ГОСТ Р №57106-2016 приводит к нарушению прав неопределенного круга лиц (пациентов Диспансера).</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Таким образом, довод Заявителя является необоснованным.</w:t>
      </w:r>
    </w:p>
    <w:p>
      <w:pPr>
        <w:pStyle w:val="Style9"/>
        <w:numPr>
          <w:ilvl w:val="0"/>
          <w:numId w:val="5"/>
        </w:numPr>
        <w:tabs>
          <w:tab w:leader="none" w:pos="1119"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Относительно шестого довода жалобы Комиссия Управления поясняет следующее.</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соответствии с пунктом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r>
        <w:br w:type="page"/>
      </w:r>
    </w:p>
    <w:p>
      <w:pPr>
        <w:pStyle w:val="Style9"/>
        <w:numPr>
          <w:ilvl w:val="0"/>
          <w:numId w:val="17"/>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пункту 3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numPr>
          <w:ilvl w:val="0"/>
          <w:numId w:val="17"/>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9"/>
        <w:tabs>
          <w:tab w:leader="underscore" w:pos="10047" w:val="left"/>
        </w:tabs>
        <w:widowControl w:val="0"/>
        <w:keepNext w:val="0"/>
        <w:keepLines w:val="0"/>
        <w:shd w:val="clear" w:color="auto" w:fill="auto"/>
        <w:bidi w:val="0"/>
        <w:jc w:val="both"/>
        <w:spacing w:before="0" w:after="0" w:line="274" w:lineRule="exact"/>
        <w:ind w:left="20" w:right="20" w:firstLine="720"/>
        <w:sectPr>
          <w:type w:val="continuous"/>
          <w:pgSz w:w="11906" w:h="16838"/>
          <w:pgMar w:top="679" w:left="836" w:right="764" w:bottom="933" w:header="0" w:footer="3" w:gutter="0"/>
          <w:rtlGutter w:val="0"/>
          <w:cols w:space="720"/>
          <w:noEndnote/>
          <w:docGrid w:linePitch="360"/>
        </w:sectPr>
      </w:pPr>
      <w:r>
        <w:rPr>
          <w:lang w:val="ru-RU" w:eastAsia="ru-RU" w:bidi="ru-RU"/>
          <w:w w:val="100"/>
          <w:spacing w:val="0"/>
          <w:color w:val="000000"/>
          <w:position w:val="0"/>
        </w:rPr>
        <w:t xml:space="preserve">Вместе с тем, в ГОСТе Р 58040-2017. Национальный стандарт Российской Федерации. Комплексы витаминно-минеральные. Общие технические условия (утв. и введен в действие Приказом Росстандарта от 26.12.2017 </w:t>
      </w:r>
      <w:r>
        <w:rPr>
          <w:lang w:val="en-US" w:eastAsia="en-US" w:bidi="en-US"/>
          <w:w w:val="100"/>
          <w:spacing w:val="0"/>
          <w:color w:val="000000"/>
          <w:position w:val="0"/>
        </w:rPr>
        <w:t xml:space="preserve">N </w:t>
      </w:r>
      <w:r>
        <w:rPr>
          <w:lang w:val="ru-RU" w:eastAsia="ru-RU" w:bidi="ru-RU"/>
          <w:w w:val="100"/>
          <w:spacing w:val="0"/>
          <w:color w:val="000000"/>
          <w:position w:val="0"/>
        </w:rPr>
        <w:t xml:space="preserve">2094-ст) Раздела 5 «Общие технические требования» пунктом 5.2.2 установлено, что по содержанию витаминов и/или минеральных веществ ВМК, </w:t>
      </w:r>
      <w:r>
        <w:rPr>
          <w:rStyle w:val="CharStyle13"/>
        </w:rPr>
        <w:t>готовые к употреблению, должны соответствовать, указанным в таблице (в том числе):</w:t>
      </w:r>
      <w:r>
        <w:rPr>
          <w:lang w:val="ru-RU" w:eastAsia="ru-RU" w:bidi="ru-RU"/>
          <w:w w:val="100"/>
          <w:spacing w:val="0"/>
          <w:color w:val="000000"/>
          <w:position w:val="0"/>
        </w:rPr>
        <w:tab/>
      </w:r>
    </w:p>
    <w:p>
      <w:pPr>
        <w:widowControl w:val="0"/>
        <w:spacing w:line="112"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ВМК, готовые к употреблению, для обогащения блюд диетического лечебного и диетического профилактического питания в медицинских организациях</w:t>
      </w:r>
    </w:p>
    <w:p>
      <w:pPr>
        <w:pStyle w:val="Style6"/>
        <w:widowControl w:val="0"/>
        <w:keepNext w:val="0"/>
        <w:keepLines w:val="0"/>
        <w:shd w:val="clear" w:color="auto" w:fill="auto"/>
        <w:bidi w:val="0"/>
        <w:jc w:val="both"/>
        <w:spacing w:before="0" w:after="0"/>
        <w:ind w:left="0" w:right="0" w:firstLine="720"/>
        <w:sectPr>
          <w:type w:val="continuous"/>
          <w:pgSz w:w="11906" w:h="16838"/>
          <w:pgMar w:top="288" w:left="853" w:right="863" w:bottom="869" w:header="0" w:footer="3" w:gutter="0"/>
          <w:rtlGutter w:val="0"/>
          <w:cols w:num="2" w:space="720" w:equalWidth="0">
            <w:col w:w="4450" w:space="125"/>
            <w:col w:w="5616"/>
          </w:cols>
          <w:noEndnote/>
          <w:docGrid w:linePitch="360"/>
        </w:sectPr>
      </w:pPr>
      <w:r>
        <w:rPr>
          <w:lang w:val="ru-RU" w:eastAsia="ru-RU" w:bidi="ru-RU"/>
          <w:w w:val="100"/>
          <w:spacing w:val="0"/>
          <w:color w:val="000000"/>
          <w:position w:val="0"/>
        </w:rPr>
        <w:t xml:space="preserve">Не менее чем 50% и не более чем 100% от нормы физиологической потребности в конкретном компоненте согласно 15], в том числе по </w:t>
      </w:r>
      <w:r>
        <w:rPr>
          <w:rStyle w:val="CharStyle8"/>
          <w:lang w:val="ru-RU" w:eastAsia="ru-RU" w:bidi="ru-RU"/>
          <w:b/>
          <w:bCs/>
        </w:rPr>
        <w:t>ГОСТ Р 57106</w:t>
      </w:r>
    </w:p>
    <w:p>
      <w:pPr>
        <w:widowControl w:val="0"/>
        <w:spacing w:line="97"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ГОСТе Р 58040-2017 даны термины и определения Витаминно-минеральных комплексов, а также на классификацию ВКМ.</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сообщает, что на данной момент ни один производитель не производит витаминно-минеральный комплекс, который бы полностью соответствовал ГОСТ Р 58040-2017. Для соблюдения требований пункта 3 части 1 статьи 33 Закона о контрактной системе Заказчик не мог не установить его в соответствующей документации.</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При этом, если обратиться к пункту 5.1. ГОСТ Р 58040-2017 ВМК изготавливают в соответствии с требованиями настоящего стандарта с соблюдением требований, установленных в Техническом регламенте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утвержден решением Комиссии Таможенного союза от 15 июня 2012 г. </w:t>
      </w:r>
      <w:r>
        <w:rPr>
          <w:lang w:val="en-US" w:eastAsia="en-US" w:bidi="en-US"/>
          <w:w w:val="100"/>
          <w:spacing w:val="0"/>
          <w:color w:val="000000"/>
          <w:position w:val="0"/>
        </w:rPr>
        <w:t xml:space="preserve">N </w:t>
      </w:r>
      <w:r>
        <w:rPr>
          <w:lang w:val="ru-RU" w:eastAsia="ru-RU" w:bidi="ru-RU"/>
          <w:w w:val="100"/>
          <w:spacing w:val="0"/>
          <w:color w:val="000000"/>
          <w:position w:val="0"/>
        </w:rPr>
        <w:t>34 и «Организация лечебного питания в детских больницах. Методические указания», утверждены Минздравом Российской Федерации 10 ноября 2000 г. как и также применяемый ГОСТ Р 57106-2016.</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Однако проведение закупки Товара, который бы соответствовал только ГОСТ Р 58040-2017 привело бы к невозможности исполнить требования документации и осуществить поставку данного товара.</w:t>
      </w:r>
    </w:p>
    <w:p>
      <w:pPr>
        <w:pStyle w:val="Style9"/>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Комиссия Управления не усматривает нарушения положений Закона о контрактной системе Заказчиком.</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Следовательно, довод Заявителя является необоснованным.</w:t>
      </w:r>
    </w:p>
    <w:p>
      <w:pPr>
        <w:pStyle w:val="Style9"/>
        <w:numPr>
          <w:ilvl w:val="0"/>
          <w:numId w:val="5"/>
        </w:numPr>
        <w:tabs>
          <w:tab w:leader="none" w:pos="1114"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Относительно седьмого довода жалобы Комиссия Управления поясняет следующее.</w:t>
      </w:r>
      <w:r>
        <w:br w:type="page"/>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Согласно части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В соответствии с пунктом 1 части 13 статьи 34 Закона о контрактной системе в контракт включаются обязательные условия:</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1) 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Управления, изучив материалы дела установила, что согласно пункту 3.1 проекта контракта установлено следующее:</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 xml:space="preserve">«3.1. Поставка товара осуществляется с момента заключения контракта по </w:t>
      </w:r>
      <w:r>
        <w:rPr>
          <w:rStyle w:val="CharStyle12"/>
        </w:rPr>
        <w:t xml:space="preserve">10 декабря 2020 года, </w:t>
      </w:r>
      <w:r>
        <w:rPr>
          <w:lang w:val="ru-RU" w:eastAsia="ru-RU" w:bidi="ru-RU"/>
          <w:w w:val="100"/>
          <w:spacing w:val="0"/>
          <w:color w:val="000000"/>
          <w:position w:val="0"/>
        </w:rPr>
        <w:t>по заявке от Заказчика.</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pPr>
        <w:pStyle w:val="Style3"/>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Товар должен быть поставлен в течение 15 (пятнадцати) рабочих дней со дня направления Заказчиком соответствующей Заявки (Приложение№4).</w:t>
      </w:r>
    </w:p>
    <w:p>
      <w:pPr>
        <w:pStyle w:val="Style16"/>
        <w:widowControl w:val="0"/>
        <w:keepNext/>
        <w:keepLines/>
        <w:shd w:val="clear" w:color="auto" w:fill="auto"/>
        <w:bidi w:val="0"/>
        <w:spacing w:before="0" w:after="0"/>
        <w:ind w:left="40" w:right="0"/>
      </w:pPr>
      <w:bookmarkStart w:id="0" w:name="bookmark0"/>
      <w:r>
        <w:rPr>
          <w:lang w:val="ru-RU" w:eastAsia="ru-RU" w:bidi="ru-RU"/>
          <w:w w:val="100"/>
          <w:color w:val="000000"/>
          <w:position w:val="0"/>
        </w:rPr>
        <w:t>&lt;....»&gt;.</w:t>
      </w:r>
      <w:bookmarkEnd w:id="0"/>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Согласно части 2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 xml:space="preserve">Представитель Заказчика на заседании Комиссии Управления пояснил, что в соответствии с уже давно сложившейся правоприменительной практикой, срок поставки не является существенным условием договора поставки в соответствии с Гражданским кодексом РФ. Данный вывод следует из пункта 7 действующего по настоящее время Постановление Пленума ВАС РФ от 22.10.1997 </w:t>
      </w:r>
      <w:r>
        <w:rPr>
          <w:lang w:val="en-US" w:eastAsia="en-US" w:bidi="en-US"/>
          <w:w w:val="100"/>
          <w:spacing w:val="0"/>
          <w:color w:val="000000"/>
          <w:position w:val="0"/>
        </w:rPr>
        <w:t xml:space="preserve">N </w:t>
      </w:r>
      <w:r>
        <w:rPr>
          <w:lang w:val="ru-RU" w:eastAsia="ru-RU" w:bidi="ru-RU"/>
          <w:w w:val="100"/>
          <w:spacing w:val="0"/>
          <w:color w:val="000000"/>
          <w:position w:val="0"/>
        </w:rPr>
        <w:t>18 «О некоторых вопросах, связанных с применением Положений Гражданского кодекса Российской Федерации о договоре поставки»: В случаях, когда моменты заключения и исполнения договора не совпадают, а сторонами не указан срок поставки товара и из договора не вытекает, что она должна осуществляться отдельными партиями, при разрешении споров необходимо исходить из того, что срок поставки определяется по правилам, установленным статьей 314 Кодекса (статья 457).</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Кроме того, Заказчик руководствуется собственными потребностями, при этом исходя из указанных Заявителем положений Технического задания и проекта Государственного контракта следует, что Заказчик делает заявку на поставку товаров исходя из количества питающихся (больных), находящихся в конкретный промежуток времени в Диспансере.</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Таким образом, документация электронного аукциона соответствует требованиям Закона о контрактной системе.</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В силу части 9 статьи 105 Закона о контрактной системе обязанность доказывания нарушения Заказчиком своих прав и законных интересов лежит на подателе жалобы, однако в составе жалобы Заявителем не представлены документы и сведения, подтверждающие невозможность формирования заявки на участие в закупке, а также свидетельствующие о нарушении Заказчиком положений Закона о контрактной системе.</w:t>
      </w:r>
    </w:p>
    <w:p>
      <w:pPr>
        <w:pStyle w:val="Style9"/>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Таким образом, Комиссия Управления приходит к выводу, что данный довод Заявителя не нашел своего подтверждения и является необоснованным</w:t>
      </w:r>
    </w:p>
    <w:p>
      <w:pPr>
        <w:pStyle w:val="Style9"/>
        <w:widowControl w:val="0"/>
        <w:keepNext w:val="0"/>
        <w:keepLines w:val="0"/>
        <w:shd w:val="clear" w:color="auto" w:fill="auto"/>
        <w:bidi w:val="0"/>
        <w:jc w:val="both"/>
        <w:spacing w:before="0" w:after="0" w:line="274" w:lineRule="exact"/>
        <w:ind w:left="20" w:right="180" w:firstLine="720"/>
      </w:pPr>
      <w:r>
        <w:rPr>
          <w:lang w:val="ru-RU" w:eastAsia="ru-RU" w:bidi="ru-RU"/>
          <w:w w:val="100"/>
          <w:spacing w:val="0"/>
          <w:color w:val="000000"/>
          <w:position w:val="0"/>
        </w:rPr>
        <w:t>Жалоба ООО «ШЕЛДОНФАРМА» (ИНН 7814525419 ОГРН: 1127847053180) от 24.07.2020 №1554-ж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w:t>
      </w:r>
      <w:r>
        <w:rPr>
          <w:rStyle w:val="CharStyle13"/>
        </w:rPr>
        <w:t>зации, комиссии по осуществлению з</w:t>
      </w:r>
      <w:r>
        <w:rPr>
          <w:lang w:val="ru-RU" w:eastAsia="ru-RU" w:bidi="ru-RU"/>
          <w:w w:val="100"/>
          <w:spacing w:val="0"/>
          <w:color w:val="000000"/>
          <w:position w:val="0"/>
        </w:rPr>
        <w:t>акупок, се членов, лолжностпого липа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9"/>
        <w:widowControl w:val="0"/>
        <w:keepNext w:val="0"/>
        <w:keepLines w:val="0"/>
        <w:shd w:val="clear" w:color="auto" w:fill="auto"/>
        <w:bidi w:val="0"/>
        <w:jc w:val="both"/>
        <w:spacing w:before="0" w:after="275" w:line="274" w:lineRule="exact"/>
        <w:ind w:left="20" w:right="44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left"/>
        <w:spacing w:before="0" w:after="213" w:line="230" w:lineRule="exact"/>
        <w:ind w:left="4560" w:right="0" w:firstLine="0"/>
      </w:pPr>
      <w:r>
        <w:rPr>
          <w:lang w:val="ru-RU" w:eastAsia="ru-RU" w:bidi="ru-RU"/>
          <w:w w:val="100"/>
          <w:spacing w:val="0"/>
          <w:color w:val="000000"/>
          <w:position w:val="0"/>
        </w:rPr>
        <w:t>РЕШИЛА:</w:t>
      </w:r>
    </w:p>
    <w:p>
      <w:pPr>
        <w:pStyle w:val="Style9"/>
        <w:numPr>
          <w:ilvl w:val="0"/>
          <w:numId w:val="19"/>
        </w:numPr>
        <w:widowControl w:val="0"/>
        <w:keepNext w:val="0"/>
        <w:keepLines w:val="0"/>
        <w:shd w:val="clear" w:color="auto" w:fill="auto"/>
        <w:bidi w:val="0"/>
        <w:jc w:val="both"/>
        <w:spacing w:before="0" w:after="0" w:line="274" w:lineRule="exact"/>
        <w:ind w:left="20" w:right="440" w:firstLine="720"/>
      </w:pPr>
      <w:r>
        <w:rPr>
          <w:lang w:val="ru-RU" w:eastAsia="ru-RU" w:bidi="ru-RU"/>
          <w:w w:val="100"/>
          <w:spacing w:val="0"/>
          <w:color w:val="000000"/>
          <w:position w:val="0"/>
        </w:rPr>
        <w:t xml:space="preserve"> Признать жалобу ООО «ШЕЛДОНФАРМА» (ИНН 7814525419 ОГРН: 1127847053180) от 24.07.2020 №1554-ж на действия Заказчика — Казенное учреждение Ханты-Мансийского автономного округа-Югры «Сургутский клинический противотуберкулезный диспансер», при проведении электронного аукциона предметом, которого является поставка витаминно</w:t>
        <w:softHyphen/>
        <w:t>минерального комплекса (ВМК) (извещение № 0387200006320000077) необоснованной.</w:t>
      </w:r>
    </w:p>
    <w:p>
      <w:pPr>
        <w:pStyle w:val="Style9"/>
        <w:numPr>
          <w:ilvl w:val="0"/>
          <w:numId w:val="19"/>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Обязательное для исполнения предписание не выдавать.</w:t>
      </w:r>
    </w:p>
    <w:p>
      <w:pPr>
        <w:pStyle w:val="Style9"/>
        <w:numPr>
          <w:ilvl w:val="0"/>
          <w:numId w:val="19"/>
        </w:numPr>
        <w:widowControl w:val="0"/>
        <w:keepNext w:val="0"/>
        <w:keepLines w:val="0"/>
        <w:shd w:val="clear" w:color="auto" w:fill="auto"/>
        <w:bidi w:val="0"/>
        <w:jc w:val="left"/>
        <w:spacing w:before="0" w:after="275" w:line="274" w:lineRule="exact"/>
        <w:ind w:left="20" w:right="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(www.zakupki.go’</w:t>
      </w:r>
    </w:p>
    <w:p>
      <w:pPr>
        <w:pStyle w:val="Style9"/>
        <w:widowControl w:val="0"/>
        <w:keepNext w:val="0"/>
        <w:keepLines w:val="0"/>
        <w:shd w:val="clear" w:color="auto" w:fill="auto"/>
        <w:bidi w:val="0"/>
        <w:jc w:val="left"/>
        <w:spacing w:before="0" w:after="238" w:line="230" w:lineRule="exact"/>
        <w:ind w:left="2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48" w:line="230" w:lineRule="exact"/>
        <w:ind w:left="20" w:right="0" w:firstLine="0"/>
      </w:pPr>
      <w:r>
        <w:rPr>
          <w:lang w:val="ru-RU" w:eastAsia="ru-RU" w:bidi="ru-RU"/>
          <w:w w:val="100"/>
          <w:spacing w:val="0"/>
          <w:color w:val="000000"/>
          <w:position w:val="0"/>
        </w:rPr>
        <w:t>Члены Комиссии:</w:t>
      </w:r>
    </w:p>
    <w:p>
      <w:pPr>
        <w:pStyle w:val="Style18"/>
        <w:widowControl w:val="0"/>
        <w:keepNext w:val="0"/>
        <w:keepLines w:val="0"/>
        <w:shd w:val="clear" w:color="auto" w:fill="auto"/>
        <w:bidi w:val="0"/>
        <w:jc w:val="left"/>
        <w:spacing w:before="0" w:after="0"/>
        <w:ind w:left="20" w:right="440" w:firstLine="0"/>
      </w:pPr>
      <w:r>
        <w:rPr>
          <w:lang w:val="ru-RU" w:eastAsia="ru-RU" w:bidi="ru-RU"/>
          <w:w w:val="100"/>
          <w:spacing w:val="0"/>
          <w:color w:val="000000"/>
          <w:position w:val="0"/>
        </w:rPr>
        <w:t xml:space="preserve">Примечание: В соответствии с частью 9 статьи 106 Закона о контрактной системе решение, принятое по результатам рассмотрения жалобы по </w:t>
      </w:r>
      <w:r>
        <w:rPr>
          <w:lang w:val="en-US" w:eastAsia="en-US" w:bidi="en-US"/>
          <w:w w:val="100"/>
          <w:spacing w:val="0"/>
          <w:color w:val="000000"/>
          <w:position w:val="0"/>
        </w:rPr>
        <w:t xml:space="preserve">cyuiecmey </w:t>
      </w:r>
      <w:r>
        <w:rPr>
          <w:lang w:val="ru-RU" w:eastAsia="ru-RU" w:bidi="ru-RU"/>
          <w:w w:val="100"/>
          <w:spacing w:val="0"/>
          <w:color w:val="000000"/>
          <w:position w:val="0"/>
        </w:rPr>
        <w:t>может быть обжаловано в судебном порядке в течение трех месяцев со дня его принятия.</w:t>
      </w:r>
    </w:p>
    <w:sectPr>
      <w:type w:val="continuous"/>
      <w:pgSz w:w="11906" w:h="16838"/>
      <w:pgMar w:top="667" w:left="659" w:right="558" w:bottom="10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3"/>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13 pt"/>
    <w:basedOn w:val="CharStyle4"/>
    <w:rPr>
      <w:lang w:val="ru-RU" w:eastAsia="ru-RU" w:bidi="ru-RU"/>
      <w:sz w:val="26"/>
      <w:szCs w:val="26"/>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
    <w:basedOn w:val="CharStyle7"/>
    <w:rPr>
      <w:lang w:val="en-US" w:eastAsia="en-US" w:bidi="en-US"/>
      <w:u w:val="single"/>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 10,5 pt"/>
    <w:basedOn w:val="CharStyle10"/>
    <w:rPr>
      <w:lang w:val="ru-RU" w:eastAsia="ru-RU" w:bidi="ru-RU"/>
      <w:sz w:val="21"/>
      <w:szCs w:val="21"/>
      <w:w w:val="100"/>
      <w:spacing w:val="0"/>
      <w:color w:val="000000"/>
      <w:position w:val="0"/>
    </w:rPr>
  </w:style>
  <w:style w:type="character" w:customStyle="1" w:styleId="CharStyle12">
    <w:name w:val="Основной текст + Полужирный"/>
    <w:basedOn w:val="CharStyle10"/>
    <w:rPr>
      <w:lang w:val="ru-RU" w:eastAsia="ru-RU" w:bidi="ru-RU"/>
      <w:b/>
      <w:bCs/>
      <w:w w:val="100"/>
      <w:spacing w:val="0"/>
      <w:color w:val="000000"/>
      <w:position w:val="0"/>
    </w:rPr>
  </w:style>
  <w:style w:type="character" w:customStyle="1" w:styleId="CharStyle13">
    <w:name w:val="Основной текст"/>
    <w:basedOn w:val="CharStyle10"/>
    <w:rPr>
      <w:lang w:val="ru-RU" w:eastAsia="ru-RU" w:bidi="ru-RU"/>
      <w:u w:val="single"/>
      <w:w w:val="100"/>
      <w:spacing w:val="0"/>
      <w:color w:val="000000"/>
      <w:position w:val="0"/>
    </w:rPr>
  </w:style>
  <w:style w:type="character" w:customStyle="1" w:styleId="CharStyle14">
    <w:name w:val="Основной текст + 11 pt,Полужирный"/>
    <w:basedOn w:val="CharStyle10"/>
    <w:rPr>
      <w:lang w:val="ru-RU" w:eastAsia="ru-RU" w:bidi="ru-RU"/>
      <w:b/>
      <w:bCs/>
      <w:sz w:val="22"/>
      <w:szCs w:val="22"/>
      <w:w w:val="100"/>
      <w:spacing w:val="0"/>
      <w:color w:val="000000"/>
      <w:position w:val="0"/>
    </w:rPr>
  </w:style>
  <w:style w:type="character" w:customStyle="1" w:styleId="CharStyle15">
    <w:name w:val="Основной текст + 11 pt,Полужирный"/>
    <w:basedOn w:val="CharStyle10"/>
    <w:rPr>
      <w:lang w:val="ru-RU" w:eastAsia="ru-RU" w:bidi="ru-RU"/>
      <w:b/>
      <w:bCs/>
      <w:sz w:val="22"/>
      <w:szCs w:val="22"/>
      <w:w w:val="100"/>
      <w:spacing w:val="0"/>
      <w:color w:val="000000"/>
      <w:position w:val="0"/>
    </w:rPr>
  </w:style>
  <w:style w:type="character" w:customStyle="1" w:styleId="CharStyle17">
    <w:name w:val="Заголовок №1_"/>
    <w:basedOn w:val="DefaultParagraphFont"/>
    <w:link w:val="Style16"/>
    <w:rPr>
      <w:b/>
      <w:bCs/>
      <w:i w:val="0"/>
      <w:iCs w:val="0"/>
      <w:u w:val="none"/>
      <w:strike w:val="0"/>
      <w:smallCaps w:val="0"/>
      <w:sz w:val="19"/>
      <w:szCs w:val="19"/>
      <w:rFonts w:ascii="Times New Roman" w:eastAsia="Times New Roman" w:hAnsi="Times New Roman" w:cs="Times New Roman"/>
      <w:spacing w:val="20"/>
    </w:rPr>
  </w:style>
  <w:style w:type="character" w:customStyle="1" w:styleId="CharStyle19">
    <w:name w:val="Основной текст (4)_"/>
    <w:basedOn w:val="DefaultParagraphFont"/>
    <w:link w:val="Style18"/>
    <w:rPr>
      <w:b/>
      <w:bCs/>
      <w:i/>
      <w:iCs/>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240" w:after="12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24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line="274" w:lineRule="exact"/>
      <w:ind w:firstLine="720"/>
    </w:pPr>
    <w:rPr>
      <w:b/>
      <w:bCs/>
      <w:i w:val="0"/>
      <w:iCs w:val="0"/>
      <w:u w:val="none"/>
      <w:strike w:val="0"/>
      <w:smallCaps w:val="0"/>
      <w:sz w:val="19"/>
      <w:szCs w:val="19"/>
      <w:rFonts w:ascii="Times New Roman" w:eastAsia="Times New Roman" w:hAnsi="Times New Roman" w:cs="Times New Roman"/>
      <w:spacing w:val="20"/>
    </w:rPr>
  </w:style>
  <w:style w:type="paragraph" w:customStyle="1" w:styleId="Style18">
    <w:name w:val="Основной текст (4)"/>
    <w:basedOn w:val="Normal"/>
    <w:link w:val="CharStyle19"/>
    <w:pPr>
      <w:widowControl w:val="0"/>
      <w:shd w:val="clear" w:color="auto" w:fill="FFFFFF"/>
      <w:spacing w:before="120" w:line="182" w:lineRule="exact"/>
    </w:pPr>
    <w:rPr>
      <w:b/>
      <w:bCs/>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