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65" w:left="2689" w:right="8229" w:bottom="49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0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5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185" w:line="210" w:lineRule="exact"/>
        <w:ind w:left="120" w:right="0" w:firstLine="0"/>
      </w:pPr>
      <w:bookmarkStart w:id="0" w:name="bookmark0"/>
      <w:r>
        <w:rPr>
          <w:rStyle w:val="CharStyle9"/>
          <w:b/>
          <w:bCs/>
          <w:i/>
          <w:iCs/>
        </w:rPr>
        <w:t>(У/,</w:t>
      </w:r>
      <w:r>
        <w:rPr>
          <w:rStyle w:val="CharStyle10"/>
          <w:lang w:val="ru-RU" w:eastAsia="ru-RU" w:bidi="ru-RU"/>
          <w:b/>
          <w:bCs/>
          <w:i/>
          <w:iCs/>
        </w:rPr>
        <w:t xml:space="preserve"> </w:t>
      </w:r>
      <w:r>
        <w:rPr>
          <w:rStyle w:val="CharStyle10"/>
          <w:b/>
          <w:bCs/>
          <w:i/>
          <w:iCs/>
        </w:rPr>
        <w:t>Pf.J</w:t>
      </w:r>
      <w:r>
        <w:rPr>
          <w:rStyle w:val="CharStyle10"/>
          <w:lang w:val="ru-RU" w:eastAsia="ru-RU" w:bidi="ru-RU"/>
          <w:b/>
          <w:bCs/>
          <w:i/>
          <w:iCs/>
        </w:rPr>
        <w:t>-ШО</w:t>
      </w:r>
      <w:r>
        <w:rPr>
          <w:rStyle w:val="CharStyle11"/>
          <w:b w:val="0"/>
          <w:bCs w:val="0"/>
          <w:i w:val="0"/>
          <w:iCs w:val="0"/>
        </w:rPr>
        <w:t xml:space="preserve"> </w:t>
      </w:r>
      <w:r>
        <w:rPr>
          <w:rStyle w:val="CharStyle12"/>
          <w:b w:val="0"/>
          <w:bCs w:val="0"/>
          <w:i w:val="0"/>
          <w:iCs w:val="0"/>
        </w:rPr>
        <w:t>№</w:t>
      </w:r>
      <w:bookmarkEnd w:id="0"/>
    </w:p>
    <w:p>
      <w:pPr>
        <w:pStyle w:val="Style13"/>
        <w:tabs>
          <w:tab w:leader="none" w:pos="204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6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У скову Александру Сергеевичу Бульвар Профсоюзов, д. 22, кв. 194,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3" w:line="30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г. Волжский, Волгоградская обл., 404102 </w:t>
      </w:r>
      <w:r>
        <w:fldChar w:fldCharType="begin"/>
      </w:r>
      <w:r>
        <w:rPr>
          <w:color w:val="000000"/>
        </w:rPr>
        <w:instrText> HYPERLINK "mailto:start_alexandr@mail.ru"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start_alexandr@mail.ru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Администрация Новоаннинского муниципального района Волгоградской области пл. Ленина, 5, г. Новоаннинсь Волгоградская обл., 403958 </w:t>
      </w:r>
      <w:r>
        <w:fldChar w:fldCharType="begin"/>
      </w:r>
      <w:r>
        <w:rPr>
          <w:color w:val="000000"/>
        </w:rPr>
        <w:instrText> HYPERLINK "mailto:ra_novan@volganet.ru"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ra_novan@volganet.ru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ЗАО «Сбербанк-АСТ» ул. Большой Саввинский переулок, дом 12, стр. 9, Мос: 119435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type w:val="continuous"/>
          <w:pgSz w:w="11906" w:h="16838"/>
          <w:pgMar w:top="465" w:left="1217" w:right="1901" w:bottom="494" w:header="0" w:footer="3" w:gutter="0"/>
          <w:rtlGutter w:val="0"/>
          <w:cols w:num="2" w:space="720" w:equalWidth="0">
            <w:col w:w="3992" w:space="1505"/>
            <w:col w:w="3290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6" w:after="5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034/06/105-744/2020 о нарушении законодательства о контрактной системе</w:t>
      </w:r>
    </w:p>
    <w:p>
      <w:pPr>
        <w:pStyle w:val="Style15"/>
        <w:tabs>
          <w:tab w:leader="none" w:pos="928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30 июля 2020 года</w:t>
        <w:tab/>
        <w:t>Волгоград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председатель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Берендеев И.Ю. - член Комиссии, помощник руководителя Управления; Слащева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M.J1.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ИП Ускова А.С. вх. № 7270 от 24.07.2020 на положения документации о закупке при проведении аукциона в электронной форме «выполнение работ по объекту: «Благоустройство прилегающей территории к</w:t>
        <w:br w:type="page"/>
        <w:t>многоквартирному дому по пер. Володарского, 5 в г.Новоаннинский Волгоградской области» (номер извещения 0129300015820000018),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поступила жалоба ИП У скова А. С. (далее - Заявитель) вх. № 7270 от 24.07.2020 на положения документации о закупке при проведении аукциона в электронной форме «выполнение работ по объекту: «Благоустройство прилегающей территории к многоквартирному дому по пер. Володарского, 5 в г.Новоаннинский Волгоградской области»» (номер извещения 0129300015820000018).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были опубликованы извещение и документация о проведении аукциона в электронной форме «выполнение работ по объекту: «Благоустройство прилегающей территории к многоквартирному дому по пер. Володарского, 5 в г.Новоаннинский Волгоградской области»» (номер извещения 0129300015820000018). Начальная (максимальная) цена контракта (далее - НМЦК) 1 401 349,61 российских рублей.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на участие в закупке было подано 3 заявки, все из которых были допущены к участию в аукционе, по итогам которого цена контракта была снижена на 9% по отношению к НМЦК.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аукционная документация составлена заказчиком - Администрацией Новоаннинского муниципального района Волгоградской области (далее - Заказчик) с нарушением положений Закона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 Заявитель указывает, что аукционная документация не предусматривает возможность поставки товара, эквивалентного товару, указанному в проектно</w:t>
        <w:softHyphen/>
        <w:t>сметной документации, размещенной совместно с аукционной документацией.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 8 ч. 1 ст. 33 Закона о контрактной системе 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частями 16 и 16.1 статьи 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пунктов 1 - 3 части 1 статьи 33 Закона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со ст. 48 Градостроительного кодекса Российской Федерации (далее - ГрК РФ)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 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строительство, реконструкция, капитальный ремонт объекта капитального строительства осуществляется на основании проектной документации, которая содержит показатели, связанные с определением соответствия выполняемых работ, оказываемых услуг потребностям заказчика.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изложенного, в случае, если проектно-сметная документация содержит указание на товарный знак, знак обслуживания, фирменное наименование, патент, полезную модель, промышленный образец, наименование места происхождения товара или наименование производителя, в документации о закупке с целью соблюдения положений Закона о контрактной системе необходимо установить условие о возможности использования эквивалентного товара.</w:t>
      </w:r>
    </w:p>
    <w:p>
      <w:pPr>
        <w:pStyle w:val="Style17"/>
        <w:framePr w:w="9374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Комиссией установлено, что п. 84-91 сметной документации, размещенной совместно с аукционной документацией содержат указание на конкретный товарный знак:</w:t>
      </w:r>
    </w:p>
    <w:tbl>
      <w:tblPr>
        <w:tblOverlap w:val="never"/>
        <w:tblLayout w:type="fixed"/>
        <w:jc w:val="center"/>
      </w:tblPr>
      <w:tblGrid>
        <w:gridCol w:w="432"/>
        <w:gridCol w:w="2398"/>
        <w:gridCol w:w="6545"/>
      </w:tblGrid>
      <w:tr>
        <w:trPr>
          <w:trHeight w:val="4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9" w:lineRule="exact"/>
              <w:ind w:left="120" w:right="0" w:firstLine="0"/>
            </w:pPr>
            <w:r>
              <w:rPr>
                <w:rStyle w:val="CharStyle19"/>
              </w:rPr>
              <w:t>Прайс-лист ООО "Парк- Строй"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 xml:space="preserve">Скамейка со спинкой "Полукруглая" </w:t>
            </w:r>
            <w:r>
              <w:rPr>
                <w:rStyle w:val="CharStyle19"/>
                <w:lang w:val="en-US" w:eastAsia="en-US" w:bidi="en-US"/>
              </w:rPr>
              <w:t xml:space="preserve">2000x1500x900 </w:t>
            </w:r>
            <w:r>
              <w:rPr>
                <w:rStyle w:val="CharStyle19"/>
              </w:rPr>
              <w:t>мм(шт.)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расх.; ЗПМ=1,2; Т3=1,2; ТЗМ=1,2)</w:t>
            </w:r>
          </w:p>
        </w:tc>
      </w:tr>
      <w:tr>
        <w:trPr>
          <w:trHeight w:val="52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2" w:lineRule="exact"/>
              <w:ind w:left="120" w:right="0" w:firstLine="0"/>
            </w:pPr>
            <w:r>
              <w:rPr>
                <w:rStyle w:val="CharStyle19"/>
              </w:rPr>
              <w:t>Прайс-лист "Красота под ногами"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Комплект парковой мебели "Шахматист"(шт.)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расх; ЗПМ=1,2; Т3=1,2; ТЗМ=1,2)</w:t>
            </w:r>
          </w:p>
        </w:tc>
      </w:tr>
      <w:tr>
        <w:trPr>
          <w:trHeight w:val="69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 xml:space="preserve">Прайс-лист </w:t>
            </w:r>
            <w:r>
              <w:rPr>
                <w:rStyle w:val="CharStyle19"/>
                <w:lang w:val="en-US" w:eastAsia="en-US" w:bidi="en-US"/>
              </w:rPr>
              <w:t>Tiu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6" w:lineRule="exact"/>
              <w:ind w:left="120" w:right="0" w:firstLine="0"/>
            </w:pPr>
            <w:r>
              <w:rPr>
                <w:rStyle w:val="CharStyle19"/>
              </w:rPr>
              <w:t xml:space="preserve">Спортивный комплекс ВК-010 Н=2600 </w:t>
            </w:r>
            <w:r>
              <w:rPr>
                <w:rStyle w:val="CharStyle19"/>
                <w:lang w:val="en-US" w:eastAsia="en-US" w:bidi="en-US"/>
              </w:rPr>
              <w:t xml:space="preserve">L=3870 </w:t>
            </w:r>
            <w:r>
              <w:rPr>
                <w:rStyle w:val="CharStyle19"/>
              </w:rPr>
              <w:t>В=4300 мм 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расх; ЗПМ=1,2; Т3=1,2; ТЗМ=1,2)</w:t>
            </w:r>
          </w:p>
        </w:tc>
      </w:tr>
      <w:tr>
        <w:trPr>
          <w:trHeight w:val="59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 xml:space="preserve">Прайс-лист </w:t>
            </w:r>
            <w:r>
              <w:rPr>
                <w:rStyle w:val="CharStyle19"/>
                <w:lang w:val="en-US" w:eastAsia="en-US" w:bidi="en-US"/>
              </w:rPr>
              <w:t>Tiu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9" w:lineRule="exact"/>
              <w:ind w:left="120" w:right="0" w:firstLine="0"/>
            </w:pPr>
            <w:r>
              <w:rPr>
                <w:rStyle w:val="CharStyle19"/>
              </w:rPr>
              <w:t xml:space="preserve">Уличный противовандальный тренажер "Шаговый" Н=1375 </w:t>
            </w:r>
            <w:r>
              <w:rPr>
                <w:rStyle w:val="CharStyle19"/>
                <w:lang w:val="en-US" w:eastAsia="en-US" w:bidi="en-US"/>
              </w:rPr>
              <w:t xml:space="preserve">L=1472 </w:t>
            </w:r>
            <w:r>
              <w:rPr>
                <w:rStyle w:val="CharStyle19"/>
              </w:rPr>
              <w:t>В=712 мм(шт.)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расх; ЗПМ=1,2; Т3=1,2; ТЗМ=1,2)</w:t>
            </w:r>
          </w:p>
        </w:tc>
      </w:tr>
      <w:tr>
        <w:trPr>
          <w:trHeight w:val="6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9" w:lineRule="exact"/>
              <w:ind w:left="120" w:right="0" w:firstLine="0"/>
            </w:pPr>
            <w:r>
              <w:rPr>
                <w:rStyle w:val="CharStyle19"/>
              </w:rPr>
              <w:t>Прайс-лист "Красота под ногами"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2" w:lineRule="exact"/>
              <w:ind w:left="120" w:right="0" w:firstLine="0"/>
            </w:pPr>
            <w:r>
              <w:rPr>
                <w:rStyle w:val="CharStyle19"/>
              </w:rPr>
              <w:t>Урна железобетонная прямоугольная с фактурной отделкой Универсал-1 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расх; ЗПМ=1,2; Т3=1,2; ТЗМ=1,2)</w:t>
            </w:r>
          </w:p>
        </w:tc>
      </w:tr>
      <w:tr>
        <w:trPr>
          <w:trHeight w:val="3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89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Прайс-лист СнабТоп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Урна кованая Лотос 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ЭМ=1,2красх; ЗПМ=1,2; Т3=1,2; ТЗМ=1,2)</w:t>
            </w:r>
          </w:p>
        </w:tc>
      </w:tr>
      <w:tr>
        <w:trPr>
          <w:trHeight w:val="403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90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Прайс-лист Неолит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 xml:space="preserve">Беседка </w:t>
            </w:r>
            <w:r>
              <w:rPr>
                <w:rStyle w:val="CharStyle19"/>
                <w:lang w:val="en-US" w:eastAsia="en-US" w:bidi="en-US"/>
              </w:rPr>
              <w:t xml:space="preserve">Romana </w:t>
            </w:r>
            <w:r>
              <w:rPr>
                <w:rStyle w:val="CharStyle19"/>
              </w:rPr>
              <w:t>301.01.00/МФ-1.1.05.03(шт.)</w:t>
            </w:r>
          </w:p>
          <w:p>
            <w:pPr>
              <w:pStyle w:val="Style15"/>
              <w:framePr w:w="93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30" w:lineRule="exact"/>
              <w:ind w:left="120" w:right="0" w:firstLine="0"/>
            </w:pPr>
            <w:r>
              <w:rPr>
                <w:rStyle w:val="CharStyle20"/>
              </w:rPr>
              <w:t>(ОЗП=1,2; ЭМ=1,2 к расх; ЗПМ=1,2; Т3=1,2; ТЗМ=1,2)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425"/>
        <w:gridCol w:w="2416"/>
        <w:gridCol w:w="6509"/>
      </w:tblGrid>
      <w:tr>
        <w:trPr>
          <w:trHeight w:val="248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91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Прайс-лист "Красота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Вазоны железобетонные прямоугольные Тюльпан-70вп</w:t>
            </w:r>
          </w:p>
        </w:tc>
      </w:tr>
      <w:tr>
        <w:trPr>
          <w:trHeight w:val="19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34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под ногами"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550x550x700/150 мм</w:t>
            </w:r>
          </w:p>
        </w:tc>
      </w:tr>
      <w:tr>
        <w:trPr>
          <w:trHeight w:val="22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34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34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19"/>
              </w:rPr>
              <w:t>(шт.)</w:t>
            </w:r>
          </w:p>
        </w:tc>
      </w:tr>
      <w:tr>
        <w:trPr>
          <w:trHeight w:val="313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34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34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15"/>
              <w:framePr w:w="934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20"/>
              </w:rPr>
              <w:t>(ОЗП=1,2; ЭМ=1,2 к рас*</w:t>
            </w:r>
            <w:r>
              <w:rPr>
                <w:rStyle w:val="CharStyle21"/>
              </w:rPr>
              <w:t xml:space="preserve">; </w:t>
            </w:r>
            <w:r>
              <w:rPr>
                <w:rStyle w:val="CharStyle20"/>
              </w:rPr>
              <w:t>ЗПМ=1,2; Т3=1,2; ТЗМ=1,2)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188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на заседании Комиссии установлено, что документация об аукционе не содержит условие о возможности использования эквивалентного товара.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учетом изложенного, Заказчиком нарушен п. 1 ч. 1 ст. 64 (п. 1 ч. 1 ст. 33)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ИП Ускова А.С.является 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Комиссия не усматривает оснований для выдачи обязательного для исполнения предписания об устранении выявленных нарушений ввиду отсутствия доказательств того, что данные нарушения повлияли на результат определения поставщика.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ИП Ускова А.С. вх. № 7270 от 24.07.2020 на положения документации о закупке при проведении аукциона в электронной форме «выполнение работ по объекту: «Благоустройство прилегающей территории к многоквартирному дому по пер. Володарского, 5 в г.Новоаннинский Волгоградской области» (номер извещения 0129300015820000018) обоснованной.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Заказчика нарушившим п. 1 ч. 1 ст. 64 (п. 1 ч. 1 ст. 33)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выдавать предписание об устранении выявленных нарушений ввиду отсутствия доказательств того, что данные нарушения повлияли на результат определения поставщика.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членов аукционной комиссии.</w:t>
      </w:r>
    </w:p>
    <w:p>
      <w:pPr>
        <w:pStyle w:val="Style15"/>
        <w:tabs>
          <w:tab w:leader="none" w:pos="90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01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С.В. Моисеев</w:t>
      </w:r>
    </w:p>
    <w:p>
      <w:pPr>
        <w:pStyle w:val="Style15"/>
        <w:tabs>
          <w:tab w:leader="none" w:pos="90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0" w:line="601" w:lineRule="exact"/>
        <w:ind w:left="1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</w:r>
      <w:r>
        <w:rPr>
          <w:rStyle w:val="CharStyle22"/>
        </w:rPr>
        <w:t>,</w:t>
      </w:r>
      <w:r>
        <w:rPr>
          <w:rStyle w:val="CharStyle23"/>
        </w:rPr>
        <w:t>M.JI.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Слащева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center"/>
        <w:spacing w:before="0" w:after="0" w:line="601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И.Ю. Берендеев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both"/>
        <w:spacing w:before="0" w:after="220" w:line="295" w:lineRule="exact"/>
        <w:ind w:left="40" w:right="6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Берендеев И.Ю.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(8442) 24 22 64</w:t>
      </w:r>
    </w:p>
    <w:sectPr>
      <w:type w:val="continuous"/>
      <w:pgSz w:w="11906" w:h="16838"/>
      <w:pgMar w:top="948" w:left="1312" w:right="1168" w:bottom="73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9">
    <w:name w:val="Заголовок №1 + Интервал -2 pt"/>
    <w:basedOn w:val="CharStyle8"/>
    <w:rPr>
      <w:lang w:val="ru-RU" w:eastAsia="ru-RU" w:bidi="ru-RU"/>
      <w:u w:val="single"/>
      <w:w w:val="100"/>
      <w:spacing w:val="-4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Заголовок №1 + Не полужирный,Не курсив"/>
    <w:basedOn w:val="CharStyle8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2">
    <w:name w:val="Заголовок №1 + Не полужирный,Не курсив"/>
    <w:basedOn w:val="CharStyle8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Подпись к таблице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 + Arial,9 pt,Полужирный"/>
    <w:basedOn w:val="CharStyle16"/>
    <w:rPr>
      <w:lang w:val="ru-RU" w:eastAsia="ru-RU" w:bidi="ru-RU"/>
      <w:b/>
      <w:bCs/>
      <w:sz w:val="18"/>
      <w:szCs w:val="18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0">
    <w:name w:val="Основной текст + Arial,6,5 pt,Курсив"/>
    <w:basedOn w:val="CharStyle16"/>
    <w:rPr>
      <w:lang w:val="ru-RU" w:eastAsia="ru-RU" w:bidi="ru-RU"/>
      <w:i/>
      <w:iCs/>
      <w:sz w:val="13"/>
      <w:szCs w:val="1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1">
    <w:name w:val="Основной текст + Arial,9 pt,Курсив"/>
    <w:basedOn w:val="CharStyle16"/>
    <w:rPr>
      <w:lang w:val="ru-RU" w:eastAsia="ru-RU" w:bidi="ru-RU"/>
      <w:i/>
      <w:iCs/>
      <w:sz w:val="18"/>
      <w:szCs w:val="18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2">
    <w:name w:val="Основной текст + Интервал 17 pt"/>
    <w:basedOn w:val="CharStyle16"/>
    <w:rPr>
      <w:lang w:val="ru-RU" w:eastAsia="ru-RU" w:bidi="ru-RU"/>
      <w:sz w:val="24"/>
      <w:szCs w:val="24"/>
      <w:w w:val="100"/>
      <w:spacing w:val="340"/>
      <w:color w:val="000000"/>
      <w:position w:val="0"/>
    </w:rPr>
  </w:style>
  <w:style w:type="character" w:customStyle="1" w:styleId="CharStyle23">
    <w:name w:val="Основной текст + Интервал 17 pt"/>
    <w:basedOn w:val="CharStyle16"/>
    <w:rPr>
      <w:lang w:val="en-US" w:eastAsia="en-US" w:bidi="en-US"/>
      <w:sz w:val="24"/>
      <w:szCs w:val="24"/>
      <w:w w:val="100"/>
      <w:spacing w:val="34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59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20" w:after="240" w:line="0" w:lineRule="exact"/>
    </w:pPr>
    <w:rPr>
      <w:b/>
      <w:bCs/>
      <w:i/>
      <w:iCs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Подпись к таблице"/>
    <w:basedOn w:val="Normal"/>
    <w:link w:val="CharStyle18"/>
    <w:pPr>
      <w:widowControl w:val="0"/>
      <w:shd w:val="clear" w:color="auto" w:fill="FFFFFF"/>
      <w:jc w:val="both"/>
      <w:spacing w:line="299" w:lineRule="exact"/>
      <w:ind w:firstLine="70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