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4" w:line="240" w:lineRule="exact"/>
        <w:ind w:left="20" w:right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Содержательная часть жалобы на </w:t>
      </w:r>
      <w:r>
        <w:rPr>
          <w:rStyle w:val="CharStyle5"/>
          <w:b w:val="0"/>
          <w:bCs w:val="0"/>
        </w:rPr>
        <w:t xml:space="preserve">действия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Заказчика и Уполномоченного лица: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Согласно электронному аукциону объектом закупки является: «Поставка оборудования для </w:t>
      </w:r>
      <w:r>
        <w:rPr>
          <w:rStyle w:val="CharStyle8"/>
        </w:rPr>
        <w:t>автоматизированных рабочих мест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медицинских работников», но в наименование товара, входящего в объект закупки, как на площадке, так и в ТЗ указано </w:t>
      </w:r>
      <w:r>
        <w:rPr>
          <w:rStyle w:val="CharStyle9"/>
        </w:rPr>
        <w:t>«Терминальная станция автоматизированного рабочего места медицинского работника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», и многие требования в ТЗ значительно сводятся к определенному типу оборудования, что приводит к ограничению участников закупки. Заказчик декларирует использование отдельных, поставляемых устройств, как это следуют из перечисленных компонентов объектов поставки: поставляется отдельно системный блок, монитор - выделенные физические устройства со своим энергопитанием, как отдельные единицы. Согласно разделу «Каталог» на портале </w:t>
      </w:r>
      <w:r>
        <w:rPr>
          <w:rStyle w:val="CharStyle9"/>
          <w:lang w:val="en-US" w:eastAsia="en-US" w:bidi="en-US"/>
        </w:rPr>
        <w:t>zakupki.gov.ru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• для каждого из указанных в описании объектов закупки товаров (персональный компьютер, клавиатура, мышь, монитор) предусмотрены отдельные КТРУ.</w:t>
      </w:r>
    </w:p>
    <w:p>
      <w:pPr>
        <w:pStyle w:val="Style10"/>
        <w:tabs>
          <w:tab w:leader="none" w:pos="6020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rStyle w:val="CharStyle12"/>
          <w:i w:val="0"/>
          <w:iCs w:val="0"/>
        </w:rPr>
        <w:t xml:space="preserve">Согласно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п. 1 и п. 4 Постановления Правительства РФ от 08.02.2017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</w:t>
      </w:r>
      <w:r>
        <w:rPr>
          <w:rStyle w:val="CharStyle12"/>
          <w:i w:val="0"/>
          <w:iCs w:val="0"/>
        </w:rPr>
        <w:t xml:space="preserve"> (далее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Постановление №145). </w:t>
      </w:r>
      <w:r>
        <w:rPr>
          <w:rStyle w:val="CharStyle12"/>
          <w:i w:val="0"/>
          <w:iCs w:val="0"/>
        </w:rPr>
        <w:t xml:space="preserve">Заказчик </w:t>
      </w:r>
      <w:r>
        <w:rPr>
          <w:rStyle w:val="CharStyle13"/>
          <w:i w:val="0"/>
          <w:iCs w:val="0"/>
        </w:rPr>
        <w:t>обязан применять информацию, включенную в позицию КТРУ.</w:t>
      </w:r>
      <w:r>
        <w:rPr>
          <w:rStyle w:val="CharStyle12"/>
          <w:i w:val="0"/>
          <w:iCs w:val="0"/>
        </w:rPr>
        <w:t xml:space="preserve"> в т.ч. такие характеристики как наименование и описание товара (позиции). А согласно п.8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Постановления №145 “При включении в состав одного лота (одного товара, работы, услуги) нескольких товаров, работ, услуг, на которые в каталоге имеются подлежащие применению позиции каталога и на которые в каталоге отсутствуют соответствующие позиции, заказчик руководствуется требованиями настоящих Правил </w:t>
      </w:r>
      <w:r>
        <w:rPr>
          <w:rStyle w:val="CharStyle14"/>
          <w:i/>
          <w:iCs/>
        </w:rPr>
        <w:t>в отношении каждого такого товара, работы услуги, на которые в каталоге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  <w:i/>
          <w:iCs/>
        </w:rPr>
        <w:t>имеется подлежащая применению позиция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" '</w:t>
        <w:tab/>
        <w:t>■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Таким образом, в </w:t>
      </w:r>
      <w:r>
        <w:rPr>
          <w:rStyle w:val="CharStyle9"/>
        </w:rPr>
        <w:t>Разделе 2. Описание объекта закупки,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в разделе требований не указаны обязательные необходимые характеристики по КТРУ данных товаров, что влечет за собой неопределенность в характеристиках поставляемого товара.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Считаем, что использование определенной терминологии в наименовании товара, и требования в ТЗ, приведено в целях введения в заблуждение участников аукциона относительно предмета поставки, и сводится к ограничению конкуренции среди участников.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соответствии с новой редакцией п. 5 (вступившем в силу с 01.07.2020) </w:t>
      </w:r>
      <w:r>
        <w:rPr>
          <w:rStyle w:val="CharStyle9"/>
        </w:rPr>
        <w:t>Правил использования КТРУ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заказчики вправе указать в извещении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33 Закона № 44-ФЗ, которые не предусмотрены в позиции КТРУ, </w:t>
      </w:r>
      <w:r>
        <w:rPr>
          <w:rStyle w:val="CharStyle8"/>
        </w:rPr>
        <w:t>за исключением случаев: 1) осуществления закупки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</w:t>
      </w:r>
      <w:r>
        <w:rPr>
          <w:rStyle w:val="CharStyle8"/>
        </w:rPr>
        <w:t xml:space="preserve">радиоэлектронной </w:t>
      </w:r>
      <w:r>
        <w:rPr>
          <w:rStyle w:val="CharStyle15"/>
        </w:rPr>
        <w:t>продукции</w:t>
      </w:r>
      <w:r>
        <w:rPr>
          <w:rStyle w:val="CharStyle16"/>
        </w:rPr>
        <w:t xml:space="preserve">, </w:t>
      </w:r>
      <w:r>
        <w:rPr>
          <w:rStyle w:val="CharStyle8"/>
        </w:rPr>
        <w:t>включенной в перечень, утвержденный постановлением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</w:t>
      </w:r>
      <w:r>
        <w:rPr>
          <w:rStyle w:val="CharStyle8"/>
        </w:rPr>
        <w:t xml:space="preserve">Правительства РФ от 10 июля 2019 г. № 878 (далее </w:t>
      </w:r>
      <w:r>
        <w:rPr>
          <w:rStyle w:val="CharStyle17"/>
        </w:rPr>
        <w:t>Постановление 878</w:t>
      </w:r>
      <w:r>
        <w:rPr>
          <w:rStyle w:val="CharStyle8"/>
        </w:rPr>
        <w:t>)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Дополнительные характеристики товара, установленные Заказчиком в техническом задании, не соответствуют предусмотренным позициям КТРУ (при этом являются избыточными), которые являются радиоэлектронной продукцией, включенной в Перечень (код ОКПД2 - 26) </w:t>
      </w:r>
      <w:r>
        <w:rPr>
          <w:rStyle w:val="CharStyle9"/>
        </w:rPr>
        <w:t>Постановления 878.</w:t>
      </w:r>
    </w:p>
    <w:p>
      <w:pPr>
        <w:pStyle w:val="Style10"/>
        <w:tabs>
          <w:tab w:leader="none" w:pos="263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40"/>
      </w:pPr>
      <w:r>
        <w:rPr>
          <w:rStyle w:val="CharStyle12"/>
          <w:i w:val="0"/>
          <w:iCs w:val="0"/>
        </w:rPr>
        <w:t>В конкурсной документации присутствует документ: "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Обоснование невозможности соблюдения ограничения на допуск радиоэлектронной продукции, происходящей из иностранных государств, для целей осуществления закупок для обеспечения государственных и муниципальных нужд» (далее Обоснование),</w:t>
      </w:r>
      <w:r>
        <w:rPr>
          <w:rStyle w:val="CharStyle12"/>
          <w:i w:val="0"/>
          <w:iCs w:val="0"/>
        </w:rPr>
        <w:t xml:space="preserve"> в котором приведена следующая фраза:</w:t>
        <w:tab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«Функциональные, технические и эксплуатационные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характеристики, по которым радиоэлектронная продукция, сведения о которой включены в реестр, не соответствует установленным заказчиком требованиям к радиоэлектронной продукции, являющейся объектом закупки, указаны в описании объекта закупки, но учитывая, что поля «Основные технические и функциональные характеристики для ТКО (при наличии)» в Реестре пустые, то Заказчик не имеет возможности указать функциональные, технические и (или) эксплуатационные характеристики радиоэлектронной продукции, не соответствующие установленным заказчиком требованиям к планируемой к закупке радиоэлектронной продукции.»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Согласно разъяснениям Министерства промышленности и торговли, приведенным в письме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ПГ-11-7984 от 24 сентября 2019 г., соответствие характеристикам оборудования потребностям Заказчика, уточняются Заказчиком у производителей оборудования.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40"/>
      </w:pPr>
      <w:r>
        <w:rPr>
          <w:rStyle w:val="CharStyle12"/>
          <w:i w:val="0"/>
          <w:iCs w:val="0"/>
        </w:rPr>
        <w:t xml:space="preserve">Просим привести конкурсную документацию, а именно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Обоснование</w:t>
      </w:r>
      <w:r>
        <w:rPr>
          <w:rStyle w:val="CharStyle12"/>
          <w:i w:val="0"/>
          <w:iCs w:val="0"/>
        </w:rPr>
        <w:t xml:space="preserve"> в соответствие с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Порядком подготовки обоснования невозможности закупки радиоэлектронной продукции, включенной в единый реестр российской радиоэлектронной продукции, для целей осуществления закупок для обеспечения государственных и муниципальных нужд</w:t>
      </w:r>
    </w:p>
    <w:p>
      <w:pPr>
        <w:pStyle w:val="Style6"/>
        <w:tabs>
          <w:tab w:leader="none" w:pos="6942" w:val="left"/>
          <w:tab w:leader="dot" w:pos="833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постановления Правительства РФ от 10.07.2019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878.</w:t>
        <w:tab/>
        <w:tab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Кроме того ряд требований Заказчика содержит либо явно завышенные характеристики, с целью ограничения конкуренции, либо содержит требования, которые относятся к устаревшему оборудованию.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Так, в описании объекта Закупки присутствует следующая характеристика: </w:t>
      </w:r>
      <w:r>
        <w:rPr>
          <w:rStyle w:val="CharStyle9"/>
        </w:rPr>
        <w:t xml:space="preserve">"Спецификация высокоскоростных интерфейсных </w:t>
      </w:r>
      <w:r>
        <w:rPr>
          <w:rStyle w:val="CharStyle9"/>
          <w:lang w:val="en-US" w:eastAsia="en-US" w:bidi="en-US"/>
        </w:rPr>
        <w:t xml:space="preserve">USB </w:t>
      </w:r>
      <w:r>
        <w:rPr>
          <w:rStyle w:val="CharStyle9"/>
        </w:rPr>
        <w:t xml:space="preserve">портов ПИ Не менее </w:t>
      </w:r>
      <w:r>
        <w:rPr>
          <w:rStyle w:val="CharStyle9"/>
          <w:lang w:val="en-US" w:eastAsia="en-US" w:bidi="en-US"/>
        </w:rPr>
        <w:t>USB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3.0"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700"/>
      </w:pP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USB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порты типа 2.0 также являются вцсокоскоростными, чем обусловлена необходимость именно 3.0 не понятно. При этом при использовании портов типа 2.0 характеристики не претерпят существенных изменений.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Следующая характеристика: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"Возможность вывода дополнительного порта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COM (RS-232)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 системной (материнской) платы ПК, без использования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PCIe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карт расширения"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COM (RS-232)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является устаревшим, и современные производители не поддерживают вывод порта с платы. Логичного объяснения целесообразности вывода именно с материнской платы нет, ведь доступ к данному порту можно реализовать через переходники.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описании объекта Закупки в разделе к ИБП присутствует следующая характеристика: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"Полная мощность, Вольт-ампер</w:t>
      </w:r>
      <w:r>
        <w:rPr>
          <w:rStyle w:val="CharStyle12"/>
          <w:i w:val="0"/>
          <w:iCs w:val="0"/>
        </w:rPr>
        <w:t xml:space="preserve">"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 менее 400"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объекте закупки присутствует оборудование мощность 65 Вт и 25 Вт, итого 90 Вт. Согласно </w:t>
      </w:r>
      <w:r>
        <w:rPr>
          <w:rStyle w:val="CharStyle9"/>
        </w:rPr>
        <w:t>Каталогу товаров, работ и услуг,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имеются ИБП меньшей емкости, удовлетворяющие потребностям оборудования-потребителей необходимых Заказчику. В чем состоит необходимость выбора КТРУ со значительным превышением мощности, в ограничении конкуренции?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соответствии с п. 1 ч.1 ст. 33 Федерального закона от 05.04.2013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44-ФЗ "О контрактной системе в сфере закупок товаров, работ, услуг для обеспечения государственных и муниципальных нужд" в описание объекта закупки не должны включаться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силу ст. 17 Федерального закона от 26.07.2006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135-ФЗ "О защите конкуренции" при проведении торгов, запроса котировок цен на, запроса предложений запрещаются действия, которые приводят или могут привести к недопущению, ограничению или устранению конкуренции.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58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' Таким образом, установление вышеуказанных технических характеристик, исключает возможность поставки эквивалентной продукции, что приводит к ограничению количества участников закупки и нарушает требования действующего законодательства.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основании изложенного,</w:t>
      </w:r>
    </w:p>
    <w:p>
      <w:pPr>
        <w:pStyle w:val="Style6"/>
        <w:tabs>
          <w:tab w:leader="none" w:pos="9144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ПРОСИМ:</w:t>
        <w:tab/>
        <w:t>*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Приостановить проведение процедуры №0818500000820003640.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40" w:right="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Обязать Заказчика устранить вышеуказанные нарушения закона и внести соответствующие изменения в техническое задание.</w:t>
      </w:r>
    </w:p>
    <w:p>
      <w:pPr>
        <w:pStyle w:val="Style6"/>
        <w:numPr>
          <w:ilvl w:val="0"/>
          <w:numId w:val="1"/>
        </w:numPr>
        <w:tabs>
          <w:tab w:leader="none" w:pos="7050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40" w:right="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Установить новый срок подачи заявок участников; новый срок проведения электронного аукциона и подведения итогов. </w:t>
      </w:r>
      <w:r>
        <w:rPr>
          <w:rStyle w:val="CharStyle9"/>
        </w:rPr>
        <w:t>/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ab/>
        <w:t>/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70" w:left="1372" w:right="1356" w:bottom="10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Calibri" w:eastAsia="Calibri" w:hAnsi="Calibri" w:cs="Calibri"/>
        <w:w w:val="100"/>
        <w:spacing w:val="-1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Calibri" w:eastAsia="Calibri" w:hAnsi="Calibri" w:cs="Calibri"/>
      <w:spacing w:val="-10"/>
    </w:rPr>
  </w:style>
  <w:style w:type="character" w:customStyle="1" w:styleId="CharStyle5">
    <w:name w:val="Основной текст (2) + Не полужирный"/>
    <w:basedOn w:val="CharStyle4"/>
    <w:rPr>
      <w:lang w:val="ru-RU" w:eastAsia="ru-RU" w:bidi="ru-RU"/>
      <w:b/>
      <w:bCs/>
      <w:sz w:val="24"/>
      <w:szCs w:val="24"/>
      <w:w w:val="10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Calibri" w:eastAsia="Calibri" w:hAnsi="Calibri" w:cs="Calibri"/>
      <w:spacing w:val="-10"/>
    </w:rPr>
  </w:style>
  <w:style w:type="character" w:customStyle="1" w:styleId="CharStyle8">
    <w:name w:val="Основной текст"/>
    <w:basedOn w:val="CharStyle7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9">
    <w:name w:val="Основной текст + Курсив,Интервал 0 pt"/>
    <w:basedOn w:val="CharStyle7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/>
      <w:iCs/>
      <w:u w:val="none"/>
      <w:strike w:val="0"/>
      <w:smallCaps w:val="0"/>
      <w:rFonts w:ascii="Calibri" w:eastAsia="Calibri" w:hAnsi="Calibri" w:cs="Calibri"/>
    </w:rPr>
  </w:style>
  <w:style w:type="character" w:customStyle="1" w:styleId="CharStyle12">
    <w:name w:val="Основной текст (3) + Не курсив,Интервал 0 pt"/>
    <w:basedOn w:val="CharStyle11"/>
    <w:rPr>
      <w:lang w:val="ru-RU" w:eastAsia="ru-RU" w:bidi="ru-RU"/>
      <w:i/>
      <w:iCs/>
      <w:sz w:val="24"/>
      <w:szCs w:val="24"/>
      <w:w w:val="100"/>
      <w:spacing w:val="-10"/>
      <w:color w:val="000000"/>
      <w:position w:val="0"/>
    </w:rPr>
  </w:style>
  <w:style w:type="character" w:customStyle="1" w:styleId="CharStyle13">
    <w:name w:val="Основной текст (3) + Не курсив,Интервал 0 pt"/>
    <w:basedOn w:val="CharStyle11"/>
    <w:rPr>
      <w:lang w:val="ru-RU" w:eastAsia="ru-RU" w:bidi="ru-RU"/>
      <w:i/>
      <w:iCs/>
      <w:u w:val="single"/>
      <w:sz w:val="24"/>
      <w:szCs w:val="24"/>
      <w:w w:val="100"/>
      <w:spacing w:val="-10"/>
      <w:color w:val="000000"/>
      <w:position w:val="0"/>
    </w:rPr>
  </w:style>
  <w:style w:type="character" w:customStyle="1" w:styleId="CharStyle14">
    <w:name w:val="Основной текст (3)"/>
    <w:basedOn w:val="CharStyle11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Основной текст + 9,5 pt,Полужирный,Интервал 0 pt"/>
    <w:basedOn w:val="CharStyle7"/>
    <w:rPr>
      <w:lang w:val="ru-RU" w:eastAsia="ru-RU" w:bidi="ru-RU"/>
      <w:b/>
      <w:bCs/>
      <w:u w:val="single"/>
      <w:sz w:val="19"/>
      <w:szCs w:val="19"/>
      <w:w w:val="100"/>
      <w:spacing w:val="0"/>
      <w:color w:val="000000"/>
      <w:position w:val="0"/>
    </w:rPr>
  </w:style>
  <w:style w:type="character" w:customStyle="1" w:styleId="CharStyle16">
    <w:name w:val="Основной текст + Полужирный,Интервал 0 pt"/>
    <w:basedOn w:val="CharStyle7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Основной текст + Курсив,Интервал 0 pt"/>
    <w:basedOn w:val="CharStyle7"/>
    <w:rPr>
      <w:lang w:val="ru-RU" w:eastAsia="ru-RU" w:bidi="ru-RU"/>
      <w:i/>
      <w:iCs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both"/>
      <w:spacing w:after="360" w:line="0" w:lineRule="exact"/>
      <w:ind w:firstLine="700"/>
    </w:pPr>
    <w:rPr>
      <w:b/>
      <w:bCs/>
      <w:i w:val="0"/>
      <w:iCs w:val="0"/>
      <w:u w:val="none"/>
      <w:strike w:val="0"/>
      <w:smallCaps w:val="0"/>
      <w:rFonts w:ascii="Calibri" w:eastAsia="Calibri" w:hAnsi="Calibri" w:cs="Calibri"/>
      <w:spacing w:val="-10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both"/>
      <w:spacing w:before="360" w:line="288" w:lineRule="exact"/>
      <w:ind w:hanging="340"/>
    </w:pPr>
    <w:rPr>
      <w:b w:val="0"/>
      <w:bCs w:val="0"/>
      <w:i w:val="0"/>
      <w:iCs w:val="0"/>
      <w:u w:val="none"/>
      <w:strike w:val="0"/>
      <w:smallCaps w:val="0"/>
      <w:rFonts w:ascii="Calibri" w:eastAsia="Calibri" w:hAnsi="Calibri" w:cs="Calibri"/>
      <w:spacing w:val="-10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both"/>
      <w:spacing w:line="288" w:lineRule="exact"/>
    </w:pPr>
    <w:rPr>
      <w:b w:val="0"/>
      <w:bCs w:val="0"/>
      <w:i/>
      <w:iCs/>
      <w:u w:val="none"/>
      <w:strike w:val="0"/>
      <w:smallCaps w:val="0"/>
      <w:rFonts w:ascii="Calibri" w:eastAsia="Calibri" w:hAnsi="Calibri" w:cs="Calibri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