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tabs>
          <w:tab w:leader="none" w:pos="4777" w:val="left"/>
          <w:tab w:leader="none" w:pos="9495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1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30.07.2020 на действия - администрация МО Ейский район при проведении закупки :</w:t>
        <w:tab/>
        <w:t>(извещение №</w:t>
        <w:tab/>
        <w:t>0118300018120000171),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31" w:lineRule="exact"/>
        <w:ind w:left="20" w:right="1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 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статьей.'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31" w:lineRule="exact"/>
        <w:ind w:left="20" w:right="1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 105 Закона о контрактной системе предусмотрено, что участник закупки, общественное объединение,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20" w:right="1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п.1) ч.8 ст. 105 Закона о контрактной системе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должна содержать наименование, фирменное наименование (при наличии), </w:t>
      </w:r>
      <w:r>
        <w:rPr>
          <w:rStyle w:val="CharStyle5"/>
        </w:rPr>
        <w:t>место нахождения (для юридического лица),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фамилию, имя, отчество (при наличии), место жительства (для физического лица),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почтовый адрес, номер контактного телефона лица, действия (бездействие) которого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обжалуются.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представленной жалобе данная информация отсутствует.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1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п.2) ч.8 ст. 105 Закона о контрактной системе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</w:t>
      </w:r>
      <w:r>
        <w:rPr>
          <w:rStyle w:val="CharStyle5"/>
        </w:rPr>
        <w:t>должна содержать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наименование, фирменное наименование (при наличии), </w:t>
      </w:r>
      <w:r>
        <w:rPr>
          <w:rStyle w:val="CharStyle5"/>
        </w:rPr>
        <w:t>место нахождения (для юридического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лица), наименование, место нахождения общественного объединения или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объединения юридических лиц, фамилию, имя, отчество (при наличии), место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жительства (для физического лица) лица, подавшего жалобу, почтовый адрес,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адрес электронной почты,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жалобе данная информация отсутствует.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46" w:lineRule="exact"/>
        <w:ind w:left="20" w:right="1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 ч. 11 ст. 105 Закона о контрактной системе, жалоба ИП Исаева Эльмана Давудовича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46" w:lineRule="exact"/>
        <w:ind w:left="20" w:right="1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369" w:left="1122" w:right="1122" w:bottom="136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both"/>
      <w:spacing w:line="28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