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010/06/105-509/2020 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7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КУ РК «Управтодор РК» </w:t>
      </w:r>
      <w:r>
        <w:fldChar w:fldCharType="begin"/>
      </w:r>
      <w:r>
        <w:rPr>
          <w:color w:val="000000"/>
        </w:rPr>
        <w:instrText> HYPERLINK "mailto:orgz@upravtodor-rk.ru"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orgz@upravtodor-rk.ru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2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63" w:left="6583" w:right="1741" w:bottom="38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«СпецПроект» </w:t>
      </w:r>
      <w:r>
        <w:fldChar w:fldCharType="begin"/>
      </w:r>
      <w:r>
        <w:rPr>
          <w:color w:val="000000"/>
        </w:rPr>
        <w:instrText> HYPERLINK "mailto:info.saper@bk.ru"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info.saper@bk.ru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0" w:firstLine="0"/>
      </w:pPr>
      <w:r>
        <w:rPr>
          <w:rStyle w:val="CharStyle10"/>
          <w:b w:val="0"/>
          <w:bCs w:val="0"/>
        </w:rPr>
        <w:t xml:space="preserve">УПРАВЛЕНИЕ </w:t>
      </w:r>
      <w:r>
        <w:rPr>
          <w:rStyle w:val="CharStyle11"/>
          <w:b/>
          <w:bCs/>
        </w:rPr>
        <w:t>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16" w:lineRule="exact"/>
        <w:ind w:left="0" w:right="0" w:firstLine="0"/>
      </w:pPr>
      <w:r>
        <w:rPr>
          <w:rStyle w:val="CharStyle11"/>
          <w:b/>
          <w:bCs/>
        </w:rPr>
        <w:t>по Республике Карелия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>наб. Варкауса, 1 а, г. Петрозаводск,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Республика Карелия, 185031 почтовый адрес: а/я 14. г. Петрозаводск, 185028 тед/факс (8142) 78-44-30 </w:t>
      </w:r>
      <w:r>
        <w:rPr>
          <w:rStyle w:val="CharStyle14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14"/>
        </w:rPr>
        <w:instrText> HYPERLINK "mailto:10@fas.gov.ru" </w:instrText>
      </w:r>
      <w:r>
        <w:fldChar w:fldCharType="separate"/>
      </w:r>
      <w:r>
        <w:rPr>
          <w:rStyle w:val="Hyperlink"/>
        </w:rPr>
        <w:t>1</w:t>
      </w:r>
      <w:r>
        <w:rPr>
          <w:rStyle w:val="Hyperlink"/>
          <w:lang w:val="en-US" w:eastAsia="en-US" w:bidi="en-US"/>
        </w:rPr>
        <w:t>0@fas.gov.ru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168" w:line="260" w:lineRule="exact"/>
        <w:ind w:left="0" w:right="320" w:firstLine="0"/>
      </w:pPr>
      <w:bookmarkStart w:id="0" w:name="bookmark0"/>
      <w:r>
        <w:rPr>
          <w:rStyle w:val="CharStyle17"/>
          <w:b/>
          <w:bCs/>
        </w:rPr>
        <w:t xml:space="preserve">0 3. 08. 2020 </w:t>
      </w:r>
      <w:r>
        <w:rPr>
          <w:rStyle w:val="CharStyle18"/>
          <w:b/>
          <w:bCs/>
        </w:rPr>
        <w:t xml:space="preserve">o^©^vov5^V^fi5e.o \ </w:t>
      </w:r>
      <w:r>
        <w:rPr>
          <w:rStyle w:val="CharStyle18"/>
          <w:lang w:val="ru-RU" w:eastAsia="ru-RU" w:bidi="ru-RU"/>
          <w:b/>
          <w:bCs/>
        </w:rPr>
        <w:t>2 ^/3</w:t>
      </w:r>
      <w:bookmarkEnd w:id="0"/>
    </w:p>
    <w:p>
      <w:pPr>
        <w:pStyle w:val="Style7"/>
        <w:framePr w:h="190" w:wrap="around" w:vAnchor="text" w:hAnchor="margin" w:x="2487" w:y="-1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  <w:sectPr>
          <w:type w:val="continuous"/>
          <w:pgSz w:w="11906" w:h="16838"/>
          <w:pgMar w:top="363" w:left="762" w:right="4826" w:bottom="388" w:header="0" w:footer="3" w:gutter="0"/>
          <w:rtlGutter w:val="0"/>
          <w:cols w:space="720"/>
          <w:noEndnote/>
          <w:docGrid w:linePitch="360"/>
        </w:sectPr>
      </w:pPr>
      <w:r>
        <w:rPr>
          <w:rStyle w:val="CharStyle20"/>
        </w:rPr>
        <w:t>На №</w:t>
      </w: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1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010/06/105-509/2020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1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Петрозаводск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решения объявлена «29» июля 2020 года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в полном объеме изготовлено «03» августа 2020 года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управления - начальник отдела контроля органов власти и закупок Карельского У 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Суханова М.С. - член Комиссии, заместитель начальника отдела контроля органов власти и закупок Карельского У 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Ковалева О.В. - член Комиссии, ведущий специалист - эксперт отдела контроля органов власти и закупок Карельского У ФАС России;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участии представителя Заказчика - КУ РК «Управтодор РК» Борисовой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JI.E.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(полномочия подтверждены) посредством видеоконференцсвязи до перерыва;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отсутствие представителя Заявителя- ООО «СпецПроект» (уведомлено надлежащим образом);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8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«СпецПроект» на действия комиссии Заказчика - КУ РК «Управтодор РК» при проведении электронного аукциона на выполнение работ по обследованию и очистке от взрывоопасных предметов территории объекта: "Строительство автомобильной дороги к памятнику археологии "Петроглифы Залавруги" (извещение № 0306200005120000043)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 (зарегистрировано в Минюсте России 27.02.2015 №36262)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4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002490</w:t>
      </w:r>
      <w:bookmarkEnd w:id="1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его права и законные интересы нарушены действиями Заказчика, который утвердил документацию об аукционе с нарушением требований Закона о контрактной системе, а именно: в пункте 16 информационной карты документации об аукционе Заказчиком установлены избыточные требования к участникам закупки о наличии лицензии, выданной Федеральной службой по экологическому, технологическому и атомному надзору (Ростехнадзор), на деятельность, связанную с обращением взрывчатых материалов промышленного назначения виды работ: применение взрывчатых материалов промышленного назначения.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«Спецпроект» просит признать жалобу обоснованной, выдать Заказчику предписание об устранении нарушений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3" w:line="313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письменных пояснениях от 28.07.2020 с доводами Заявителя не согласен, просит признать жалобу необоснованной.</w:t>
      </w:r>
    </w:p>
    <w:p>
      <w:pPr>
        <w:pStyle w:val="Style5"/>
        <w:tabs>
          <w:tab w:leader="none" w:pos="5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Документация об аукционе утверждена Приказом КУ РК «Управтодор РК» №</w:t>
        <w:tab/>
        <w:t>60/20-3 от 13.07.2020 и размещена на официальном сайте Единой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14.07.2020.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Номер извещения: 0306200005120000043.</w:t>
      </w:r>
    </w:p>
    <w:p>
      <w:pPr>
        <w:pStyle w:val="Style5"/>
        <w:tabs>
          <w:tab w:leader="none" w:pos="97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Краткое наименование аукциона: выполнение работ по обследованию и очистке от взрывоопасных предметов территории объекта:</w:t>
        <w:tab/>
        <w:t>"Строительство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автомобильной дороги к памятнику археологии "Петроглифы Залавруги".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Способ закупки: электронный аукцион.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площадки: </w:t>
      </w:r>
      <w:r>
        <w:fldChar w:fldCharType="begin"/>
      </w:r>
      <w:r>
        <w:rPr>
          <w:color w:val="000000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http://roseltorg.ru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 КУ РК «Управтодор РК».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контракта: 2 152 299,93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представленные материалы, заслушав пояснения представителя Заказчика, Комиссия Карельского УФАС России пришла к следующим выводам: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59 Закона о контрактной системе,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Объектом закупки является выполнение работ по обследованию и очистке от взрывоопасных предметов территории объекта: "Строительство автомобильной дороги к памятнику археологии "Петроглифы Залавруги".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50 части 1 статьи 12 Федерального закона от 04.05.2011 № 99-ФЗ «О лицензировании отдельных видов деятельности» установлено, что лицензированию подлежит деятельность, связанная с обращением взрывчатых материалов (ВМ) промышленного назначения (ПН).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 взрывчатым материалам относятся взрывчатые вещества и изделия на их основе, средства инициирования, применяемые при проведении взрывных работ или используемые при производстве других взрывчатых материалов.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процедуре лицензирования деятельности с взрывчатыми материалами промышленного назначения изложены в Положении о лицензировании, утвержденном постановлением Правительства Российской Федерации от 14 октября 2015 года № 1102.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Приложением к постановлению утверждён перечень выполняемых работ, составляющих лицензируемый вид деятельности: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Производство взрывчатых материалов промышленного назначения;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Хранение взрывчатых материалов промышленного назначения;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Применение взрывчатых материалов промышленного назначения;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Распространение взрывчатых материалов промышленного назначения.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Примечание. В состав выполняемых работ, составляющих лицензируемый вид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деятельности, включаются работы, связанные с обращением взрывчатых материалов промышленного назначения, используемых при проведении взрывных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Приказу Минрегиона России от 02.07.2010 № 317 в состав работ по очистке местности от взрывоопасных предметов входят следующие виды работ: камеральные работы; полевые работы; работы по перевозке взрывоопасных предметов к месту уничтожения и их уничтожение. В составе полевых работ при разминировании учитываются, в том числе работы по обезвреживанию ВОП на месте (применение); извлечению, переноске, погрузке ВОП в специально оборудованный автотранспорт, перевозку к месту временного складирования или уничтожения (хранение).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Взрывоопасный предмет (ВОП) - боеприпас или устройство, в том числе самодельное, содержащее взрывчатое вещество или пиротехнический состав и способное при взрыве (горении) причинить ущерб людям, животным или объектам.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Очистка местности (объекта) от взрывоопасных предметов - мероприятия и непосредственные действия по поиску, идентификации, обезвреживанию и (или) уничтожению взрывоопасных предметов, обнаруженных на местности (объектах).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Организация - исполнитель работ по гуманитарному разминированию - предприятие (фирма, учреждение) или любая другая структура, независимо от формы ее собственности, специализирующаяся на выполнении работ по гуманитарному разминированию и имеющая соответствующие лицензии, и другие разрешительные документы на ведение указанного вида деятельности.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16 информационной карты документации об аукционе Заказчиком установлены требования к участникам: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именно:</w:t>
      </w:r>
    </w:p>
    <w:p>
      <w:pPr>
        <w:pStyle w:val="Style5"/>
        <w:tabs>
          <w:tab w:leader="none" w:pos="5082" w:val="left"/>
          <w:tab w:leader="none" w:pos="97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1) Соответствие требованиям,</w:t>
        <w:tab/>
        <w:t>установленным в</w:t>
        <w:tab/>
        <w:t>соответствии с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Федеральным законом Российской Федерации «О лицензировании отдельных видов деятельности» от 04.05.2011г. № 99-ФЗ </w:t>
      </w:r>
      <w:r>
        <w:rPr>
          <w:rStyle w:val="CharStyle24"/>
        </w:rPr>
        <w:t>наличие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лицензии, выданной Федеральной службой по экологическому, технологическому 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атомному надзору (Ростехнадзор), на деятельность, связанную с обращением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взрывчатых материалов промышленного назначения виды работ: применение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взрывчатых материалов промышленного назначения.</w:t>
      </w:r>
    </w:p>
    <w:p>
      <w:pPr>
        <w:pStyle w:val="Style5"/>
        <w:numPr>
          <w:ilvl w:val="0"/>
          <w:numId w:val="5"/>
        </w:numPr>
        <w:tabs>
          <w:tab w:leader="none" w:pos="5082" w:val="left"/>
          <w:tab w:leader="none" w:pos="97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Участник закупки должен</w:t>
        <w:tab/>
        <w:t>являться членом</w:t>
        <w:tab/>
        <w:t>саморегулируемой</w:t>
      </w:r>
    </w:p>
    <w:p>
      <w:pPr>
        <w:pStyle w:val="Style5"/>
        <w:tabs>
          <w:tab w:leader="none" w:pos="5082" w:val="left"/>
          <w:tab w:leader="none" w:pos="97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организации в области инженерных</w:t>
        <w:tab/>
        <w:t>изысканий. Член</w:t>
        <w:tab/>
        <w:t>саморегулируемой</w:t>
      </w:r>
    </w:p>
    <w:p>
      <w:pPr>
        <w:pStyle w:val="Style5"/>
        <w:tabs>
          <w:tab w:leader="none" w:pos="50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организации должен иметь право</w:t>
        <w:tab/>
        <w:t>выполнять инженерные изыскания,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соответствовать уровню ответственности, предусмотренному частью 11 статьи 55.16 Градостроительного кодекса РФ, при соблюдении в совокупности следующих условий: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наличие у саморегулируемой организации, членом которой является такое лицо, компенсационного фонда обеспечения договорных обязательств, сформированного в соответствии со статьями 55.4 и 55.16 Градостроительного кодекса Российской Федерации;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если совокупный размер обязательств по указанным в предыдущем абзаце договорам не превышает предельный размер обязательств, исходя из которого, таким лицом был внесен взнос в компенсационный фонд обеспечения договорных обязательств в соответствии с частью 11 статьи 55.16 Градостроительного кодекса Российской Федерации. Количество договоров подряда на выполнение инженерных изысканий, которые могут быть заключены членом саморегулируемой организации с использованием конкурентных способов заключения договоров, не ограничивается.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6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Данное требование не применяется к участникам закупки, когда членство в саморегулируемых организациях не требуется в соответствии с положениями Градостроительного Кодекса РФ.</w:t>
      </w:r>
    </w:p>
    <w:p>
      <w:pPr>
        <w:pStyle w:val="Style25"/>
        <w:framePr w:w="980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7"/>
        </w:rPr>
        <w:t>Приложением № 1 к контракту предусмотрено:</w:t>
      </w:r>
    </w:p>
    <w:tbl>
      <w:tblPr>
        <w:tblOverlap w:val="never"/>
        <w:tblLayout w:type="fixed"/>
        <w:jc w:val="center"/>
      </w:tblPr>
      <w:tblGrid>
        <w:gridCol w:w="2300"/>
        <w:gridCol w:w="7502"/>
      </w:tblGrid>
      <w:tr>
        <w:trPr>
          <w:trHeight w:val="32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0" w:lineRule="exact"/>
              <w:ind w:left="0" w:right="60" w:firstLine="0"/>
            </w:pPr>
            <w:r>
              <w:rPr>
                <w:rStyle w:val="CharStyle28"/>
              </w:rPr>
              <w:t>4. Состав рабо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00" w:firstLine="0"/>
            </w:pPr>
            <w:r>
              <w:rPr>
                <w:rStyle w:val="CharStyle29"/>
              </w:rPr>
              <w:t>4.1. Организация разведки местности на наличие мин и других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0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80" w:right="0" w:firstLine="0"/>
            </w:pPr>
            <w:r>
              <w:rPr>
                <w:rStyle w:val="CharStyle29"/>
              </w:rPr>
              <w:t>ВОП (минную опасность);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0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00" w:firstLine="0"/>
            </w:pPr>
            <w:r>
              <w:rPr>
                <w:rStyle w:val="CharStyle29"/>
              </w:rPr>
              <w:t>4.2. Организация и непосредственное выполнение задач по</w:t>
            </w:r>
          </w:p>
        </w:tc>
      </w:tr>
      <w:tr>
        <w:trPr>
          <w:trHeight w:val="241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0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80" w:right="0" w:firstLine="0"/>
            </w:pPr>
            <w:r>
              <w:rPr>
                <w:rStyle w:val="CharStyle29"/>
              </w:rPr>
              <w:t>очистке местности от ВОП;</w:t>
            </w:r>
          </w:p>
        </w:tc>
      </w:tr>
      <w:tr>
        <w:trPr>
          <w:trHeight w:val="31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80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200" w:firstLine="0"/>
            </w:pPr>
            <w:r>
              <w:rPr>
                <w:rStyle w:val="CharStyle29"/>
              </w:rPr>
              <w:t>4.3. Передача очищенной от ВОП местности Заказчику с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803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5"/>
              <w:framePr w:w="980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80" w:right="0" w:firstLine="0"/>
            </w:pPr>
            <w:r>
              <w:rPr>
                <w:rStyle w:val="CharStyle29"/>
              </w:rPr>
              <w:t>составлением отчета.</w:t>
            </w:r>
          </w:p>
        </w:tc>
      </w:tr>
    </w:tbl>
    <w:p>
      <w:pPr>
        <w:widowControl w:val="0"/>
        <w:rPr>
          <w:sz w:val="2"/>
          <w:szCs w:val="2"/>
        </w:rPr>
      </w:pPr>
      <w:r>
        <w:br w:type="page"/>
      </w:r>
    </w:p>
    <w:p>
      <w:pPr>
        <w:pStyle w:val="Style3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Работы по очистке территории от взрывоопасных предметов должны быть выполнены методом ручного разминирования в соответствии с требованиями Международных технических стандартов для операций по гуманитарному разминированию МСПМД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(IMAS).</w:t>
      </w:r>
    </w:p>
    <w:p>
      <w:pPr>
        <w:pStyle w:val="Style3"/>
        <w:framePr w:w="1690" w:h="835" w:wrap="around" w:hAnchor="margin" w:x="57" w:y="100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580" w:right="0" w:firstLine="0"/>
      </w:pPr>
      <w:r>
        <w:rPr>
          <w:rStyle w:val="CharStyle21"/>
          <w:b/>
          <w:bCs/>
          <w:spacing w:val="0"/>
        </w:rPr>
        <w:t>5.</w:t>
      </w:r>
    </w:p>
    <w:p>
      <w:pPr>
        <w:pStyle w:val="Style3"/>
        <w:framePr w:w="1690" w:h="835" w:wrap="around" w:hAnchor="margin" w:x="57" w:y="100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20" w:firstLine="0"/>
      </w:pPr>
      <w:r>
        <w:rPr>
          <w:rStyle w:val="CharStyle21"/>
          <w:b/>
          <w:bCs/>
          <w:spacing w:val="0"/>
        </w:rPr>
        <w:t>Требования к ведению работ</w:t>
      </w:r>
    </w:p>
    <w:p>
      <w:pPr>
        <w:pStyle w:val="Style3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420" w:right="2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Работы по обезвреживанию и уничтожению взрывоопасных предметов производить с соблюдением положений Федеральных норм и правил в области промышленной безопасности «Правила безопасности при взрывных работах» (утверждены Приказом Ростехнадзора от 16.12.2013 № 605).</w:t>
      </w:r>
    </w:p>
    <w:p>
      <w:pPr>
        <w:pStyle w:val="Style3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420" w:right="2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 работам по обезвреживанию обнаруженных взрывоопасных предметов допускать специалистов, имеющих «Единую книжку взрывника» с допуском на право производства работ по уничтожению взрывоопасных предметов на земной поверхности.</w:t>
      </w:r>
    </w:p>
    <w:p>
      <w:pPr>
        <w:pStyle w:val="Style3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420" w:right="2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Все обнаруженные взрывоопасные предметы должны быть обезврежены (уничтожены) в день обнаружения. При невозможности обезвреживания (уничтожения) взрывоопасных предметов в день обнаружения должна быть обеспечена их круглосуточная охрана.</w:t>
      </w:r>
    </w:p>
    <w:p>
      <w:pPr>
        <w:pStyle w:val="Style30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420" w:right="2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Перевозка обнаруженных взрывоопасных предметов должна осуществляться только на специально оборудованном автотранспорте (с допуском на перевозку взрывчатых материалов).</w:t>
      </w:r>
    </w:p>
    <w:p>
      <w:pPr>
        <w:pStyle w:val="Style30"/>
        <w:numPr>
          <w:ilvl w:val="0"/>
          <w:numId w:val="7"/>
        </w:numPr>
        <w:tabs>
          <w:tab w:leader="underscore" w:pos="96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420" w:right="2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Исполнитель гарантирует отсутствие ВОП на очищенной </w:t>
      </w:r>
      <w:r>
        <w:rPr>
          <w:rStyle w:val="CharStyle32"/>
        </w:rPr>
        <w:t>территории до конца капитального ремонта объекта.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7.6 проекта контракта предусмотрено, что при обнаружении ВОП третьей степени опасности (т.е. ВОП, которые невозможно безопасно переместить к месту уничтожения, а необходимо уничтожать на месте обнаружения) Исполнитель совместно с Заказчиком и местными органами власти принимают все меры для максимального снижения последствий взрыва.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законодательству Российской Федерации о лицензировании ряд работ или услуг могут выполняться исключительно лицами, обладающими соответствующей лицензией. В случае если в один объект закупки включены работы, для выполнения которых требуется наличие соответствующей лицензии, а также работы, для выполнения которых такая лицензия не требуется, то установление требования о предоставлении участником закупки в составе заявки на участие в аукционе копий таких лицензий является нарушением части 6 статьи 31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Инструкцией по очистке местности от взрывоопасных предметов, утвержденной МЧС РФ по ГО и ЧС «01» февраля 2016 года каких-либо требований о необходимости участнику иметь лицензию, связанную с обращением взрывчатых материалов промышленного назначения на виды работ; применение взрывчатых материалов промышленного назначения; хранение взрывчатых материалов промышленного назначения при очистке местности от ВОП не установлено.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таких обстоятельствах необходимо отметить, что согласно письму Ростехнадзора от 15.10.2018 исх. № 46-1/47456 при выполнении работ по обследованию территории на наличие взрывоопасных предметов (ВОП) лицензия не требуется. При уничтожении обнаруженных взрывоопасных предметов требуется лицензия, выданная Федеральной службой по экологическому,</w:t>
        <w:br w:type="page"/>
        <w:t xml:space="preserve">технологическому и атомному надзору (Ростехнадзор), на осуществление деятельности, связанной с обращением взрывчатых материалов промышленного назначения на следующий вид работ: </w:t>
      </w:r>
      <w:r>
        <w:rPr>
          <w:rStyle w:val="CharStyle33"/>
        </w:rPr>
        <w:t>применение взрывчатых материалов промышленного назначения.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рассматриваемом случае, Комиссия Карельского У ФАС России приходит к выводу, что установленное Заказчиком требование к участнику закупки о наличии указанной лицензии является правомерным и не противоречит требованиями статьи 31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Установление данного требования направлено на получение качественного оказания услуг по очистке от взрывоопасных предметов (ВОП).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Протокол рассмотрения заявок на участие в электронном аукционе от 22.07.2020 № 0306200005120000043 также косвенно подтверждает, что наличие данного требования не ограничивает количество участников закупки, поскольку на участие в закупке было подано 7 заявок.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19" w:line="31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и руководствуясь статьями 99, 106 Закона о контрактной системе, Комиссия Карельского У ФАС России по контролю в сфере закупок для 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" w:line="240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«Спецпроект» на действия комиссии Заказчика - КУ РК «Управтодор РК» при проведении электронного аукциона на Выполнение работ по обследованию и очистке от взрывоопасных предметов территории объекта: "Строительство автомобильной дороги к памятнику археологии "Петроглифы Залавруги" (извещение № 0306200005120000043) необоснованной.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решение может быть обжаловано </w:t>
      </w:r>
      <w:r>
        <w:rPr>
          <w:rStyle w:val="CharStyle36"/>
          <w:i/>
          <w:iCs/>
        </w:rPr>
        <w:t xml:space="preserve">в Арбитраж ном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суде Республики Карелия в течение 3-х месяцев с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both"/>
        <w:spacing w:before="0" w:after="623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момента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843" w:left="829" w:right="829" w:bottom="653" w:header="0" w:footer="3" w:gutter="421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1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5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character" w:customStyle="1" w:styleId="CharStyle9">
    <w:name w:val="Основной текст (4) Exact"/>
    <w:basedOn w:val="CharStyle19"/>
    <w:rPr>
      <w:sz w:val="19"/>
      <w:szCs w:val="19"/>
      <w:spacing w:val="8"/>
    </w:rPr>
  </w:style>
  <w:style w:type="character" w:customStyle="1" w:styleId="CharStyle10">
    <w:name w:val="Основной текст (2) + 10 pt,Не полужирный,Интервал 1 pt"/>
    <w:basedOn w:val="CharStyle4"/>
    <w:rPr>
      <w:lang w:val="ru-RU" w:eastAsia="ru-RU" w:bidi="ru-RU"/>
      <w:b/>
      <w:bCs/>
      <w:sz w:val="20"/>
      <w:szCs w:val="20"/>
      <w:w w:val="100"/>
      <w:spacing w:val="20"/>
      <w:color w:val="000000"/>
      <w:position w:val="0"/>
    </w:rPr>
  </w:style>
  <w:style w:type="character" w:customStyle="1" w:styleId="CharStyle11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0"/>
    </w:rPr>
  </w:style>
  <w:style w:type="character" w:customStyle="1" w:styleId="CharStyle17">
    <w:name w:val="Заголовок №2"/>
    <w:basedOn w:val="CharStyle16"/>
    <w:rPr>
      <w:lang w:val="ru-RU" w:eastAsia="ru-RU" w:bidi="ru-RU"/>
      <w:spacing w:val="0"/>
      <w:color w:val="000000"/>
      <w:position w:val="0"/>
    </w:rPr>
  </w:style>
  <w:style w:type="character" w:customStyle="1" w:styleId="CharStyle18">
    <w:name w:val="Заголовок №2"/>
    <w:basedOn w:val="CharStyle16"/>
    <w:rPr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 (4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character" w:customStyle="1" w:styleId="CharStyle23">
    <w:name w:val="Заголовок №1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30"/>
      <w:szCs w:val="30"/>
      <w:rFonts w:ascii="Impact" w:eastAsia="Impact" w:hAnsi="Impact" w:cs="Impact"/>
      <w:spacing w:val="40"/>
    </w:rPr>
  </w:style>
  <w:style w:type="character" w:customStyle="1" w:styleId="CharStyle24">
    <w:name w:val="Основной текст"/>
    <w:basedOn w:val="CharStyle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Подпись к таблице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Подпись к таблице"/>
    <w:basedOn w:val="CharStyle2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1">
    <w:name w:val="Основной текст (5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2">
    <w:name w:val="Основной текст (5)"/>
    <w:basedOn w:val="CharStyle3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(6)_"/>
    <w:basedOn w:val="DefaultParagraphFont"/>
    <w:link w:val="Style34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6">
    <w:name w:val="Основной текст (6)"/>
    <w:basedOn w:val="CharStyle35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30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19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jc w:val="right"/>
      <w:outlineLvl w:val="1"/>
      <w:spacing w:after="24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0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jc w:val="right"/>
      <w:outlineLvl w:val="0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Impact" w:eastAsia="Impact" w:hAnsi="Impact" w:cs="Impact"/>
      <w:spacing w:val="40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FFFFFF"/>
      <w:spacing w:line="277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4">
    <w:name w:val="Основной текст (6)"/>
    <w:basedOn w:val="Normal"/>
    <w:link w:val="CharStyle35"/>
    <w:pPr>
      <w:widowControl w:val="0"/>
      <w:shd w:val="clear" w:color="auto" w:fill="FFFFFF"/>
      <w:jc w:val="right"/>
      <w:spacing w:before="180" w:after="6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