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94" w:left="3152" w:right="7767" w:bottom="72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Костромской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пер. Кадыевский, 4, г. Кострома, 156000 тел. (4942) 35-67-48, факс (4942) 35-67-48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to44@fas.gov.ru</w:t>
      </w:r>
      <w:r>
        <w:fldChar w:fldCharType="end"/>
      </w:r>
    </w:p>
    <w:p>
      <w:pPr>
        <w:pStyle w:val="Style7"/>
        <w:tabs>
          <w:tab w:leader="none" w:pos="2540" w:val="right"/>
          <w:tab w:leader="none" w:pos="2754" w:val="left"/>
        </w:tabs>
        <w:widowControl w:val="0"/>
        <w:keepNext/>
        <w:keepLines/>
        <w:shd w:val="clear" w:color="auto" w:fill="auto"/>
        <w:bidi w:val="0"/>
        <w:spacing w:before="0" w:after="215" w:line="280" w:lineRule="exact"/>
        <w:ind w:left="380" w:right="0" w:firstLine="0"/>
      </w:pPr>
      <w:bookmarkStart w:id="0" w:name="bookmark0"/>
      <w:r>
        <w:rPr>
          <w:rStyle w:val="CharStyle9"/>
          <w:b/>
          <w:bCs/>
          <w:i/>
          <w:iCs/>
        </w:rPr>
        <w:t>0.1 Су 1.0 Ю</w:t>
      </w:r>
      <w:r>
        <w:rPr>
          <w:rStyle w:val="CharStyle10"/>
          <w:lang w:val="ru-RU" w:eastAsia="ru-RU" w:bidi="ru-RU"/>
          <w:b w:val="0"/>
          <w:bCs w:val="0"/>
          <w:i w:val="0"/>
          <w:iCs w:val="0"/>
        </w:rPr>
        <w:tab/>
      </w:r>
      <w:r>
        <w:rPr>
          <w:rStyle w:val="CharStyle11"/>
          <w:b w:val="0"/>
          <w:bCs w:val="0"/>
          <w:i w:val="0"/>
          <w:iCs w:val="0"/>
        </w:rPr>
        <w:t>№</w:t>
        <w:tab/>
      </w:r>
      <w:r>
        <w:rPr>
          <w:rStyle w:val="CharStyle12"/>
          <w:b/>
          <w:bCs/>
          <w:i/>
          <w:iCs/>
        </w:rPr>
        <w:t>3S-&lt;o(&lt;]r</w:t>
      </w:r>
      <w:bookmarkEnd w:id="0"/>
    </w:p>
    <w:p>
      <w:pPr>
        <w:pStyle w:val="Style13"/>
        <w:tabs>
          <w:tab w:leader="underscore" w:pos="4372" w:val="left"/>
          <w:tab w:leader="underscore" w:pos="4372" w:val="lef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  <w:tab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3" w:line="27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городского округа город Волгореченск Костромской области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156901, Костромская обл, Волгореченск г, ул. Имени 50-летия Ленинского Комсомола, 4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75" w:line="274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"mailto:economik.volgadm@mail.ru"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economik.volgadm@mail.ru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99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«ТЭК-Торг»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99" w:line="23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"mailto:help@tektorg.ru"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help@tektorg.ru</w:t>
      </w:r>
      <w:r>
        <w:fldChar w:fldCharType="end"/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  <w:sectPr>
          <w:type w:val="continuous"/>
          <w:pgSz w:w="11906" w:h="16838"/>
          <w:pgMar w:top="694" w:left="1248" w:right="1154" w:bottom="726" w:header="0" w:footer="3" w:gutter="0"/>
          <w:rtlGutter w:val="0"/>
          <w:cols w:num="2" w:space="33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«МОРИС»</w:t>
      </w:r>
    </w:p>
    <w:p>
      <w:pPr>
        <w:widowControl w:val="0"/>
        <w:spacing w:before="20" w:after="2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43" w:line="277" w:lineRule="exact"/>
        <w:ind w:left="5340" w:right="1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строение 28, офис 07, г. Екатеринбург, 620028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5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</w:rPr>
        <w:t>ooo.moris69@mail.ru</w:t>
      </w:r>
      <w:r>
        <w:fldChar w:fldCharType="end"/>
      </w:r>
    </w:p>
    <w:p>
      <w:pPr>
        <w:pStyle w:val="Style13"/>
        <w:tabs>
          <w:tab w:leader="none" w:pos="8515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120" w:right="20" w:firstLine="30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044/06/105-447/2020 03 августа 2020 г.</w:t>
        <w:tab/>
        <w:t>г. Кострома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Костромского У ФАС России по контролю в сфере закупок (далее — Комиссия Костромского УФАС России; Комиссия) в составе:</w:t>
      </w:r>
    </w:p>
    <w:p>
      <w:pPr>
        <w:pStyle w:val="Style13"/>
        <w:tabs>
          <w:tab w:leader="none" w:pos="9826" w:val="right"/>
          <w:tab w:leader="none" w:pos="9822" w:val="righ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Сычевских</w:t>
        <w:tab/>
        <w:t>Н.М.;</w:t>
      </w:r>
    </w:p>
    <w:p>
      <w:pPr>
        <w:pStyle w:val="Style13"/>
        <w:tabs>
          <w:tab w:leader="none" w:pos="9212" w:val="right"/>
          <w:tab w:leader="none" w:pos="9826" w:val="right"/>
        </w:tabs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Зайцева</w:t>
        <w:tab/>
        <w:t>О.О.;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right"/>
        <w:spacing w:before="0" w:after="0" w:line="27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Гаранина А.А.,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78" w:line="27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ведении аудиозаписи заседания, проводимого посредством видеоконференцсвязи, в присутствии представителей Администрации городского округа город Волгореченск Костромской области (далее - Заказчик), в отсутствие представителей ООО «МОРИС» (далее - Заявитель), надлежащим образом уведомленных о месте, времени и способе проведения заседания, рассмотрев жалобу Заявителя на действия Заказчика и в результате проведения в соответствии с частью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внеплановой проверки,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215" w:line="23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представленным материалам 13.07.2020 г. на официальном сайте в сети Интернет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единой информационной системе в сфере закупок (далее - ЕИС) размещено извещение и документация о проведении электронного аукциона на право заключения контракта на оказание услуг по содержанию объектов улично-дорожной сети городского округа город Волгореченск Костромской области (закупка № 0141300023520000044).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установлена в размере 10 115 012,00 рублей.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аукционная документация составлена с нарушением требований Закона о контрактной системе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свое участие в заседании не обеспечил.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Заказчик, представил письменные возражения по доводам жалобы.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Выслушав пояснения Заказчика, изучив представленные документы, и проведя внеплановую проверку в соответствии с частью 15 статьи 99 Закона о контрактной системе, Комиссия Костромского У ФАС России пришла к следующим выводам.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статьей 6 Закона о контрактной системе контрактная система в сфере закупок основывается на принципах открытости и прозрачности информации о контрактной системе в сфере закупок, а также обеспечения конкуренции, профессионализма заказчиков,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заказчики в силу части 1 статьи 24 Закона о контрактной системе при осуществлении закупок используют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Конкурентными способами определения поставщиков (подрядчиков, исполнителей) являются конкурсы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аукционы (аукцион в электронной форме (далее также - электронный аукцион), закрытый аукцион), запрос котировок, запрос предложений (часть 2 статьи 24 Закона о контрактной системе).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нем, к участникам закупки предъявляются единые требования и дополнительные требования, проведение такого аукциона обеспечивается на электронной площадке ее оператором (часть 1 статьи 59 Закона о контрактной системе).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доводу Заявителя установлено следующее.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48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Заказчик установил неправомерные требования к составу первой части заявки.</w:t>
      </w:r>
    </w:p>
    <w:p>
      <w:pPr>
        <w:pStyle w:val="Style13"/>
        <w:tabs>
          <w:tab w:leader="underscore" w:pos="803" w:val="left"/>
          <w:tab w:leader="underscore" w:pos="10002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15"/>
        </w:rPr>
        <w:t>Согласно пункту 29 Информационной карты аукционной документации: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13"/>
        <w:tabs>
          <w:tab w:leader="none" w:pos="2848" w:val="center"/>
          <w:tab w:leader="none" w:pos="3687" w:val="center"/>
          <w:tab w:leader="none" w:pos="5217" w:val="right"/>
          <w:tab w:leader="none" w:pos="5361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</w:t>
        <w:tab/>
        <w:t>Требования</w:t>
        <w:tab/>
        <w:t>к</w:t>
        <w:tab/>
        <w:t>содержанию,</w:t>
        <w:tab/>
        <w:t>составу заявки на участие в электронном</w:t>
      </w:r>
    </w:p>
    <w:p>
      <w:pPr>
        <w:pStyle w:val="Style13"/>
        <w:tabs>
          <w:tab w:leader="underscore" w:pos="10002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320" w:right="0" w:firstLine="0"/>
      </w:pPr>
      <w:r>
        <w:rPr>
          <w:rStyle w:val="CharStyle15"/>
        </w:rPr>
        <w:t>аукционе и инструкция по ее заполнению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3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Первая часть заявки на участие в электронном аукционе должна содержать: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3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выполнение работы,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</w:t>
      </w:r>
      <w:r>
        <w:rPr>
          <w:rStyle w:val="CharStyle16"/>
        </w:rPr>
        <w:t>(такое согласие дается с применением программно-аппаратных средств электронной площадки);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3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3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</w:t>
      </w:r>
    </w:p>
    <w:p>
      <w:pPr>
        <w:pStyle w:val="Style13"/>
        <w:tabs>
          <w:tab w:leader="underscore" w:pos="2848" w:val="center"/>
          <w:tab w:leader="none" w:pos="3903" w:val="center"/>
          <w:tab w:leader="none" w:pos="5062" w:val="center"/>
          <w:tab w:leader="none" w:pos="5714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15"/>
        </w:rPr>
        <w:t>который</w:t>
        <w:tab/>
        <w:t>обозначен</w:t>
        <w:tab/>
        <w:t>товарным</w:t>
        <w:tab/>
        <w:t>знаком, отличным от товарного знака,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center"/>
        <w:spacing w:before="0" w:after="0" w:line="277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указанного в документации об электронном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40" w:line="277" w:lineRule="exact"/>
        <w:ind w:left="2360" w:right="2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Значениями, установленными документацией, которым должны соответствовать предлагаемые участником аукциона показатели товара, являются все характеристики товара, установленные заказчиком (см. требования к материалам, раздел IV «Описание объекта закупки»).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2 части 1 статьи 64 Закона о контрактной системе установлено, что документация об аукционе должна содержать требования к содержанию, составу заявки на участие в таком аукционе в соответствии с частями 3-6 статьи 66 Закона о контрактной системе и инструкция по ее заполнению.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66 Закона о контрактной системе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установлено, что в техническом задании документации об аукционе установлены, в том числе, следующие требования к характеристикам товаров, используемых при выполнении работ в ходе исполнения государственного контракта: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5" w:line="277" w:lineRule="exact"/>
        <w:ind w:left="120" w:right="360" w:firstLine="720"/>
      </w:pPr>
      <w:r>
        <w:rPr>
          <w:rStyle w:val="CharStyle17"/>
          <w:b w:val="0"/>
          <w:bCs w:val="0"/>
        </w:rPr>
        <w:t xml:space="preserve">Согласно пункту 12 Таблицы №2 аукционной документации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«Объем услуг по содержанию объектов улично-дорожной сети городского округа город Волгореченск»:</w:t>
      </w:r>
    </w:p>
    <w:tbl>
      <w:tblPr>
        <w:tblOverlap w:val="never"/>
        <w:tblLayout w:type="fixed"/>
        <w:jc w:val="left"/>
      </w:tblPr>
      <w:tblGrid>
        <w:gridCol w:w="554"/>
        <w:gridCol w:w="5454"/>
        <w:gridCol w:w="1458"/>
        <w:gridCol w:w="1051"/>
        <w:gridCol w:w="932"/>
      </w:tblGrid>
      <w:tr>
        <w:trPr>
          <w:trHeight w:val="58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30" w:lineRule="exact"/>
              <w:ind w:left="140" w:right="0" w:firstLine="0"/>
            </w:pPr>
            <w:r>
              <w:rPr>
                <w:rStyle w:val="CharStyle18"/>
              </w:rPr>
              <w:t>№</w:t>
            </w:r>
          </w:p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30" w:lineRule="exact"/>
              <w:ind w:left="140" w:right="0" w:firstLine="0"/>
            </w:pPr>
            <w:r>
              <w:rPr>
                <w:rStyle w:val="CharStyle18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18"/>
              </w:rPr>
              <w:t>Наименование услуги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120" w:line="230" w:lineRule="exact"/>
              <w:ind w:left="120" w:right="0" w:firstLine="0"/>
            </w:pPr>
            <w:r>
              <w:rPr>
                <w:rStyle w:val="CharStyle18"/>
              </w:rPr>
              <w:t>единица</w:t>
            </w:r>
          </w:p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120" w:after="0" w:line="230" w:lineRule="exact"/>
              <w:ind w:left="120" w:right="0" w:firstLine="0"/>
            </w:pPr>
            <w:r>
              <w:rPr>
                <w:rStyle w:val="CharStyle18"/>
              </w:rPr>
              <w:t>измерения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18"/>
              </w:rPr>
              <w:t>объем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81" w:lineRule="exact"/>
              <w:ind w:left="120" w:right="0" w:firstLine="0"/>
            </w:pPr>
            <w:r>
              <w:rPr>
                <w:rStyle w:val="CharStyle18"/>
              </w:rPr>
              <w:t>Кол- во раз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18"/>
              </w:rPr>
              <w:t>12.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18"/>
              </w:rPr>
              <w:t>Пескосоляная смесь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18"/>
              </w:rPr>
              <w:t>тн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3"/>
              <w:framePr w:w="9450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40" w:right="0" w:firstLine="0"/>
            </w:pPr>
            <w:r>
              <w:rPr>
                <w:rStyle w:val="CharStyle18"/>
              </w:rPr>
              <w:t>1987,7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450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193" w:after="0" w:line="270" w:lineRule="exact"/>
        <w:ind w:left="120" w:right="0" w:firstLine="720"/>
      </w:pPr>
      <w:r>
        <w:rPr>
          <w:rStyle w:val="CharStyle19"/>
          <w:b/>
          <w:bCs/>
        </w:rPr>
        <w:t>Требование к материалам:</w:t>
      </w:r>
    </w:p>
    <w:p>
      <w:pPr>
        <w:pStyle w:val="Style13"/>
        <w:numPr>
          <w:ilvl w:val="0"/>
          <w:numId w:val="5"/>
        </w:numPr>
        <w:tabs>
          <w:tab w:leader="none" w:pos="1124" w:val="left"/>
        </w:tabs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Пескосоляная смесь должна соответствовать отраслевым дорожным нормам: ОДН 218.2.027-2003.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Пескосоляная смесь должна быть на основе песка и технической соли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(NaCl)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соответствовать следующим требованиям: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документации об аукционе и пояснениям заказчика товар указанный в документации об аукционе используется при выполнении работ, а не поставляется.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документации об аукционе и проекте контракта отсутствуют положения регламентирующие поставку товара.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установил требование об указании в заявке конкретных показателей товара, соответствующие значениям, установленным в документации об электронном аукционе не поставляемых при выполнении работ, а используемых при выполнении работ.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120" w:right="3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при проведении закупки работ, услуг не вправе требовать предоставления в составе заявки конкретных показателей товара, соответствующих значениям, установленным в документации о закупке, указание на товарный знак (при наличии), если:</w:t>
      </w:r>
      <w:r>
        <w:br w:type="page"/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товар не передается заказчику по товарной накладной или акту передачи;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товар не принимается к бухгалтерскому учету заказчика в соответствии с Федеральным законом от 06.12.2011 № 402-ФЗ «О бухгалтерском учете»;</w:t>
      </w:r>
    </w:p>
    <w:p>
      <w:pPr>
        <w:pStyle w:val="Style13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товаром являются строительные и расходные материалы, моющие средства и т.п., используемые при выполнении работ, оказании услуг, без которых невозможно выполнить (оказать) такую работу (услугу).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Аналогичная позиция изложена в письме ФАС России от 25.06.2020 № ИА/53.616/20 «По вопросу установления требований к составу заявки (поставляемый, используемый товар)».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Следовательно, заказчик установил требования к содержанию первой части заявки не в соответствии с Законом о контрактной системе, так как установил требование об указании конкретных показателей товара, соответствующие значениям, установленным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k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документации об электронном аукционе.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Тем самым заказчик, установив требования к содержанию первой части заявки с законодательства, допустил нарушение пункта 2 части 1 статьи 64 Закона о контрактной системе.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Ответственность за вышеуказанные нарушения предусмотрена частью 4.2 статьи 7.30 Кодекса Российской Федерации об административных правонарушениях.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допущенное заказчиком нарушение не повлияло на результаты аукциона, в связи с этим обязательное для исполнения предписание Заказчику не выдавать.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статьями 99, 106 Закона о контрактной системе, Комиссия Костромского У ФАС России по контролю в сфере закупок,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99" w:line="230" w:lineRule="exact"/>
        <w:ind w:left="4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«МОРИС» обоснованной.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нарушившим пункт 2 части 1 статьи 64 Закона о контрактной системе.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Обязательное для исполнения предписание Заказчику не выдавать, в связи с тем, допущенное Заказчиком нарушение не повлияло на результат определения поставщика.</w:t>
      </w:r>
    </w:p>
    <w:p>
      <w:pPr>
        <w:pStyle w:val="Style13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243" w:line="27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Рассмотреть вопросы о привлечении виновных должностных лиц заказчика к административной ответственности.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20"/>
        <w:sectPr>
          <w:type w:val="continuous"/>
          <w:pgSz w:w="11906" w:h="16838"/>
          <w:pgMar w:top="809" w:left="884" w:right="823" w:bottom="131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заинтересованным лицом в арбитражный суд в течение трех месяцев в порядке, установленном законодательством Российской Федерации.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4" w:after="5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210" w:wrap="around" w:vAnchor="text" w:hAnchor="margin" w:x="8146" w:y="-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20"/>
          <w:spacing w:val="0"/>
        </w:rPr>
        <w:t>Н.М. Сычевских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532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432" w:left="1115" w:right="7980" w:bottom="44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/>
      <w:bCs/>
      <w:i/>
      <w:iCs/>
      <w:u w:val="none"/>
      <w:strike w:val="0"/>
      <w:smallCaps w:val="0"/>
      <w:sz w:val="28"/>
      <w:szCs w:val="28"/>
      <w:rFonts w:ascii="Calibri" w:eastAsia="Calibri" w:hAnsi="Calibri" w:cs="Calibri"/>
      <w:spacing w:val="-30"/>
    </w:rPr>
  </w:style>
  <w:style w:type="character" w:customStyle="1" w:styleId="CharStyle9">
    <w:name w:val="Заголовок №1 + Малые прописные"/>
    <w:basedOn w:val="CharStyle8"/>
    <w:rPr>
      <w:lang w:val="ru-RU" w:eastAsia="ru-RU" w:bidi="ru-RU"/>
      <w:u w:val="single"/>
      <w:smallCaps/>
      <w:w w:val="100"/>
      <w:color w:val="000000"/>
      <w:position w:val="0"/>
    </w:rPr>
  </w:style>
  <w:style w:type="character" w:customStyle="1" w:styleId="CharStyle10">
    <w:name w:val="Заголовок №1 + Arial,10,5 pt,Не полужирный,Не курсив,Интервал 0 pt"/>
    <w:basedOn w:val="CharStyle8"/>
    <w:rPr>
      <w:lang w:val="1024"/>
      <w:b/>
      <w:bCs/>
      <w:i/>
      <w:i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1">
    <w:name w:val="Заголовок №1 + Arial,10,5 pt,Не полужирный,Не курсив,Интервал 0 pt"/>
    <w:basedOn w:val="CharStyle8"/>
    <w:rPr>
      <w:lang w:val="ru-RU" w:eastAsia="ru-RU" w:bidi="ru-RU"/>
      <w:b/>
      <w:bCs/>
      <w:i/>
      <w:iCs/>
      <w:sz w:val="21"/>
      <w:szCs w:val="21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2">
    <w:name w:val="Заголовок №1"/>
    <w:basedOn w:val="CharStyle8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+ Курсив"/>
    <w:basedOn w:val="CharStyle1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7">
    <w:name w:val="Основной текст (2) + Не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8">
    <w:name w:val="Основной текст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300" w:line="299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both"/>
      <w:outlineLvl w:val="0"/>
      <w:spacing w:before="120" w:after="300" w:line="0" w:lineRule="exact"/>
    </w:pPr>
    <w:rPr>
      <w:b/>
      <w:bCs/>
      <w:i/>
      <w:iCs/>
      <w:u w:val="none"/>
      <w:strike w:val="0"/>
      <w:smallCaps w:val="0"/>
      <w:sz w:val="28"/>
      <w:szCs w:val="28"/>
      <w:rFonts w:ascii="Calibri" w:eastAsia="Calibri" w:hAnsi="Calibri" w:cs="Calibri"/>
      <w:spacing w:val="-30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jc w:val="both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