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989" w:left="3138" w:right="7768" w:bottom="1018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10" w:after="1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1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8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Костромской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4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пер. Кадыевский, 4, г. Кострома, 156000 тел. (4942) 35-67-48. факс (4942) 35-67-48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"mailto:to44@fas.gov.ru"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to44@fas.gov.ru</w:t>
      </w:r>
      <w:r>
        <w:fldChar w:fldCharType="end"/>
      </w:r>
    </w:p>
    <w:p>
      <w:pPr>
        <w:pStyle w:val="Style7"/>
        <w:widowControl w:val="0"/>
        <w:keepNext/>
        <w:keepLines/>
        <w:shd w:val="clear" w:color="auto" w:fill="auto"/>
        <w:bidi w:val="0"/>
        <w:spacing w:before="0" w:after="164" w:line="320" w:lineRule="exact"/>
        <w:ind w:left="420" w:right="0" w:firstLine="0"/>
      </w:pPr>
      <w:bookmarkStart w:id="0" w:name="bookmark0"/>
      <w:r>
        <w:rPr>
          <w:rStyle w:val="CharStyle9"/>
          <w:lang w:val="en-US" w:eastAsia="en-US" w:bidi="en-US"/>
          <w:i/>
          <w:iCs/>
        </w:rPr>
        <w:t xml:space="preserve">JO </w:t>
      </w:r>
      <w:r>
        <w:rPr>
          <w:rStyle w:val="CharStyle9"/>
          <w:i/>
          <w:iCs/>
        </w:rPr>
        <w:t>&lt;$ч. .//оло</w:t>
      </w:r>
      <w:r>
        <w:rPr>
          <w:rStyle w:val="CharStyle10"/>
          <w:i w:val="0"/>
          <w:iCs w:val="0"/>
        </w:rPr>
        <w:t xml:space="preserve"> </w:t>
      </w:r>
      <w:r>
        <w:rPr>
          <w:rStyle w:val="CharStyle11"/>
          <w:i w:val="0"/>
          <w:iCs w:val="0"/>
        </w:rPr>
        <w:t xml:space="preserve">№ </w:t>
      </w:r>
      <w:r>
        <w:rPr>
          <w:rStyle w:val="CharStyle12"/>
          <w:i/>
          <w:iCs/>
        </w:rPr>
        <w:t>Шя/ог</w:t>
      </w:r>
      <w:bookmarkEnd w:id="0"/>
    </w:p>
    <w:p>
      <w:pPr>
        <w:pStyle w:val="Style5"/>
        <w:tabs>
          <w:tab w:leader="underscore" w:pos="2288" w:val="right"/>
          <w:tab w:leader="underscore" w:pos="404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  <w:tab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61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ОГКУ «Облстройзаказчик»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Маршала Новикова, 37, г. Кострома, 156013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37" w:line="274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"mailto:032012@inbox.ru"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032012@inbox.ru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43" w:line="277" w:lineRule="exact"/>
        <w:ind w:left="2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ОГКУ «Агентство государственных закупок Костромской области»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Пятницкая, дом 39/1, неж. пом. 1 ком. 20 город Кострома, Костромская область, 156000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75" w:line="274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"mailto:public@rks.adm44.ru"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public@rks.adm44.ru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Электронная площадка: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0"/>
        <w:sectPr>
          <w:type w:val="continuous"/>
          <w:pgSz w:w="11906" w:h="16838"/>
          <w:pgMar w:top="989" w:left="1417" w:right="1223" w:bottom="1018" w:header="0" w:footer="3" w:gutter="0"/>
          <w:rtlGutter w:val="0"/>
          <w:cols w:num="2" w:space="526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«РТС-тендер»</w:t>
      </w:r>
    </w:p>
    <w:p>
      <w:pPr>
        <w:widowControl w:val="0"/>
        <w:spacing w:before="40" w:after="4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96" w:line="230" w:lineRule="exact"/>
        <w:ind w:left="53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96" w:line="23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Дудаева О.В.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64" w:line="230" w:lineRule="exact"/>
        <w:ind w:left="53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"mailto:personal_1965@mail.ru"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personal_1965@mail.ru</w:t>
      </w:r>
      <w:r>
        <w:fldChar w:fldCharType="end"/>
      </w:r>
    </w:p>
    <w:p>
      <w:pPr>
        <w:pStyle w:val="Style13"/>
        <w:tabs>
          <w:tab w:leader="none" w:pos="8504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120" w:right="20" w:firstLine="42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044/06/105-436/2020 30 июля 2020 г.</w:t>
        <w:tab/>
        <w:t>г. Кострома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1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Костромского У ФАС России по контролю в сфере закупок (далее — Комиссия Костромского У ФАС России; Комиссия) в составе:</w:t>
      </w:r>
    </w:p>
    <w:p>
      <w:pPr>
        <w:pStyle w:val="Style13"/>
        <w:tabs>
          <w:tab w:leader="none" w:pos="9818" w:val="right"/>
          <w:tab w:leader="none" w:pos="9818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  <w:tab/>
        <w:t>Исмаилов</w:t>
        <w:tab/>
        <w:t>М.И.;</w:t>
      </w:r>
    </w:p>
    <w:p>
      <w:pPr>
        <w:pStyle w:val="Style13"/>
        <w:tabs>
          <w:tab w:leader="none" w:pos="9208" w:val="right"/>
          <w:tab w:leader="none" w:pos="9818" w:val="righ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Зайцева</w:t>
        <w:tab/>
        <w:t>О.О.;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Суясов А.И.,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335" w:line="27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ведении аудиозаписи заседания, в присутствии представителей ОГКУ «Облстройзаказчик» (далее - Заявитель), ИП Дудаевой О.В. (далее - Заказчик), ОГКУ «Агентство государственных закупок Костромской области» (далее - Уполномоченный орган), обеспечивших свое участие, посредством видеоконференцсвязи, рассмотрев жалобу Заявителя на действия комиссии заказчика при проведении электронного аукциона для заключения контракта на приобретение жилого помещения для обеспечения детей-сирот и детей, оставшихся без попечения родителей, лиц из числа детей-сирот и детей, оставшихся без попечения родителей на территории муниципального образования г. Нерехта и Нерехтский район Костромской области, (закупка №0841200000720001065), и в результате проведения в соответствии с частью 15 статьи 99 Федерального закона от 05.04.2013 г. № 44- 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 внеплановой проверки,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222" w:line="230" w:lineRule="exact"/>
        <w:ind w:left="0" w:right="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представленным материалам 02.07.2020 г. Уполномоченным органом на официальном сайте в сети Интернет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единой информационной системе в сфере закупок (далее - ЕИС) размещено извещение о проведении электронного аукциона для заключения контракта на приобретение жилого помещения для обеспечения детей-сирот и детей, оставшихся без попечения родителей, лиц из числа детей-сирот и детей, оставшихся без попечения родителей на территории муниципального образования г. Нерехта и Нерехтский район Костромской области, (закупка № 0841200000720001065).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установлена в размере 858 893,70 рублей.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27.07.2020 года в адрес Костромского У ФАС России поступила жалоба ИП Дудаевой</w:t>
      </w:r>
    </w:p>
    <w:p>
      <w:pPr>
        <w:pStyle w:val="Style13"/>
        <w:tabs>
          <w:tab w:leader="none" w:pos="685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О.В. на действия комиссии заказчика.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в своей жалобе обжалует неправомерные действия комиссии заказчика по отклонению его заявки.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жалобой Заявителя Заказчик и Уполномоченный орган не согласились, считают её необоснованной в полном объеме. Заказчиком и Уполномоченным органом на заседание представлены возражения на жалобу.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Выслушав пояснения Заказчика, Заявителя и Уполномоченного органа, изучив представленные документы, и проведя внеплановую проверку в соответствии с частью 15 статьи 99 Закона о контрактной системе, Комиссия Костромского У ФАС России пришла к следующим выводам.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со статьей 6 Закона о контрактной системе контрактная система в сфере закупок основывается на принципах открытости и прозрачности информации о контрактной системе в сфере закупок, а также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заказчики в силу части 1 статьи 24 Закона о контрактной системе при осуществлении закупок используют конкурентные способы определения поставщиков (подрядчиков, исполнителей) или осуществляют закупки у единственного поставщика (подрядчика, исполнителя).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Конкурентными способами определения поставщиков (подрядчиков, исполнителей) являются конкурсы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аукционы (аукцион в электронной форме (далее также - электронный аукцион), закрытый аукцион), запрос котировок, запрос предложений (часть 2 статьи 24 Закона о контрактной системе).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300" w:line="274" w:lineRule="exact"/>
        <w:ind w:left="1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 (часть 1 статьи 59 Закона о контрактной системе).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доводу Заявителя установлено следующее.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61 Закона о контрактной системе для обеспечения доступа к участию в электронных аукционах оператор электронной площадки осуществляет аккредитацию участников такого аукциона.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Участник электронного аукциона, получивший аккредитацию на электронной площадке и предоставивший обеспечение заявки на участие в таком аукционе, вправе участвовать во всех таких аукционах, проводимых на этой электронной площадке (часть 13 статьи 61 Закона о контрактной системе).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в том числе содержать требования к содержанию, составу заявки на участие в таком аукционе в соответствии с частями 3-6 статьи 66 настоящего Федерального закона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Документация об электронном аукционе должна содержать в том числе требования к содержанию, составу заявки на участие в таком аукционе в соответствии с частями 3 - 6 статьи 66 Закона о контрактной системе (часть 2 статьи 64 Закона о контрактной системе).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части 3 статьи 64 Закона о контрактной системе установлено, что документация об электронном аукционе наряду с предусмотренной частью 1 настоящей статьи информацией содержит требования к участникам такого аукциона, установленные в соответствии с частью 1, частями 1.1, 2 и 2.1 (при наличии таких требований) статьи 31 данного закона.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пункта 1 части 1 статьи 31 Закона о контрактной системе при осуществлении закупки заказчик устанавливает в том числе следующее требование к участникам закупки: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части 5 статьи 66 Закона о контрактной системе предусмотрено, что вторая часть заявки на участие в электронном аукционе должна содержать в том числе следующие документы и информацию: документы, подтверждающие соответствие участника такого аукциона требованиям, установленным пунктом 1 части 1, частями 2 и 2.1 статьи 31 (при наличии таких требований) настоящего Федерального закона, или копии этих документов, а также декларацию о соответствии участника такого аукциона требованиям, установленным пунктами 3-9 части 1 статьи 31 данного закона (пункт 2);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 об электронном аукционе. При этом не допускается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частями 1-3 статьи 69 Закона о контрактной системе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соответствии с частью 19 статьи 68 данного закона, в части соответствия их требованиям, установленным документацией о таком аукционе.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Заявка на участие в электронном аукционе признается не соответствующей требованиям, установленным документацией о таком аукционе в случае: непредставления документов и информации, которые предусмотрены пунктами 1, 3 - 5, 7 и 8 части 2 статьи 62, частями 3 и 5 статьи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 несоответствия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Закона о контрактной системе (пункт 1 части 6 статьи 69 Федерального закона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Закона о контрактной системе).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в жалобе указал, что 22.07.2020 опубликован протокол подведения итогов №0841200000720001065. Согласно данному протоколу заявка ИП Дудаевой О.В. признана не соответствующей требованиям, и отклонена на основании пункта 2 части 6 статьи 69 Закона о контрактной системе.</w:t>
      </w:r>
    </w:p>
    <w:p>
      <w:pPr>
        <w:pStyle w:val="Style13"/>
        <w:tabs>
          <w:tab w:leader="underscore" w:pos="809" w:val="left"/>
          <w:tab w:leader="underscore" w:pos="3674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rStyle w:val="CharStyle15"/>
        </w:rPr>
        <w:t>В протоколе указано: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заявку не соответствующей требованиям, установленным документацией об открытом аукционе.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Обоснование решения.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пунктом 5 «Требования к содержанию, составу заявки на участие в аукционе» раздела 1 «Информационная карта аукциона» документации об аукционе вторая часть заявки на участие в аукционе должна содержать документы и информацию, предусмотренные </w:t>
      </w:r>
      <w:r>
        <w:rPr>
          <w:rStyle w:val="CharStyle15"/>
        </w:rPr>
        <w:t>частью 5 статьи 66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Федерального закона от 05.04.2013 года № Закона о контрактной системе «О контрактной системе в сфере закупок товаров, работ, услуг для обеспечения государственных и муниципальных нужд» (далее - Закон). Документацией об аукционе установлено требование о наличии в составе второй части заявки копии документов, подтверждающих </w:t>
      </w:r>
      <w:r>
        <w:rPr>
          <w:rStyle w:val="CharStyle16"/>
        </w:rPr>
        <w:t>соответствие участника аукциона</w:t>
      </w:r>
      <w:r>
        <w:rPr>
          <w:rStyle w:val="CharStyle17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требованиям, установленным пунктами 1 части 1 статьи 31 Закона: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40" w:firstLine="700"/>
      </w:pPr>
      <w:r>
        <w:rPr>
          <w:rStyle w:val="CharStyle17"/>
        </w:rPr>
        <w:t xml:space="preserve">- копия(-и) документа(-ов),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подтверждающего(-их) </w:t>
      </w:r>
      <w:r>
        <w:rPr>
          <w:rStyle w:val="CharStyle17"/>
        </w:rPr>
        <w:t xml:space="preserve">право собственности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 данное жилое помещение (договор купли-продажи, мены, завещание, дарение или другие документы, подтверждающие право собственности).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составе второй части заявки отсутствует копия документа, </w:t>
      </w:r>
      <w:r>
        <w:rPr>
          <w:rStyle w:val="CharStyle16"/>
        </w:rPr>
        <w:t>подтверждающего</w:t>
      </w:r>
      <w:r>
        <w:rPr>
          <w:rStyle w:val="CharStyle17"/>
        </w:rPr>
        <w:t xml:space="preserve"> </w:t>
      </w:r>
      <w:r>
        <w:rPr>
          <w:rStyle w:val="CharStyle16"/>
        </w:rPr>
        <w:t>соответствие участника</w:t>
      </w:r>
      <w:r>
        <w:rPr>
          <w:rStyle w:val="CharStyle17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аукциона требованиям, установленным </w:t>
      </w:r>
      <w:r>
        <w:rPr>
          <w:rStyle w:val="CharStyle16"/>
        </w:rPr>
        <w:t>пунктами 1 части 1</w:t>
      </w:r>
      <w:r>
        <w:rPr>
          <w:rStyle w:val="CharStyle17"/>
        </w:rPr>
        <w:t xml:space="preserve"> </w:t>
      </w:r>
      <w:r>
        <w:rPr>
          <w:rStyle w:val="CharStyle16"/>
        </w:rPr>
        <w:t>статьи 31 Закона</w:t>
      </w:r>
      <w:r>
        <w:rPr>
          <w:rStyle w:val="CharStyle17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именно </w:t>
      </w:r>
      <w:r>
        <w:rPr>
          <w:rStyle w:val="CharStyle16"/>
        </w:rPr>
        <w:t>у участника закупки отсутствует копия документа,</w:t>
      </w:r>
      <w:r>
        <w:rPr>
          <w:rStyle w:val="CharStyle17"/>
        </w:rPr>
        <w:t xml:space="preserve"> </w:t>
      </w:r>
      <w:r>
        <w:rPr>
          <w:rStyle w:val="CharStyle16"/>
        </w:rPr>
        <w:t>подтверждающего право собственности</w:t>
      </w:r>
      <w:r>
        <w:rPr>
          <w:rStyle w:val="CharStyle17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 данное жилое помещение (договор купли- продажи, мены, завещание, дарение или другие документы, подтверждающие право собственности).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40" w:line="274" w:lineRule="exact"/>
        <w:ind w:left="60" w:right="40" w:firstLine="12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заявка на участие в аукционе признается не соответствующей требованиям, установленным документацией об аукционе на основании п. 2 ч. 6 ст. 69 Закона (несоответствие участника аукциона требованиям, установленным в соответствии с частью 1 статьи 31 Закона).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положениям пункта 4 статьи 3 и части 5 статьи 24.2 Закона о контрактной системе любое юридическое лицо или любое физическое лицо, зарегистрированное в единой информационной системе и аккредитованное на электронной площадке, вправе участвовать во всех электронных процедурах, проводимых на электронной площадке в соответствии с требованиями Закона о контрактной системе.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1 статьи 27 Закона о контрактной системе установлено, что участие в определении поставщиков (подрядчиков, исполнителей) может быть ограничено только в случаях, предусмотренных Законом о контрактной системе.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3 статьи 27 Закона о контрактной системе участники закупки имеют право выступать в отношениях, связанных с осуществлением закупки, как непосредственно, так и через своих представителей. Полномочия представителей участников</w:t>
        <w:br w:type="page"/>
        <w:t>закупки подтверждаются доверенностью, выданной и оформленной в соответствии с гражданским законодательством.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после аккредитации на электронной площадке физическое лицо (собственник квартиры) вправе по своему усмотрению принимать участие в электронном аукционе лично либо через своего представителя (при наличии соответствующей доверенности). При этом поверенный (в данном случае Общество) будет действовать не от своего имени, а от имени своего доверителя (собственника квартиры - участника электронного аукциона).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заявка на участие в рассматриваемом электронном аукционе была подана не от имени собственника, владеющего недвижимым имуществом, а от имени ИП Дудаевой О.В., тогда как она не являлась собственником объекта недвижимого имущества, выступающего предметом закупки.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Костромского У ФАС России приходит к выводу о том, что действия аукционной комиссии по отклонению заявки являются правомерными, а жалоба Заявителя необоснованной.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515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статьей 106, Закона о контрактной системе, Комиссия Костромского У ФАС России по контролю в сфере закупок.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30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3"/>
        <w:numPr>
          <w:ilvl w:val="0"/>
          <w:numId w:val="1"/>
        </w:numPr>
        <w:tabs>
          <w:tab w:leader="none" w:pos="1017" w:val="left"/>
        </w:tabs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720"/>
        <w:sectPr>
          <w:type w:val="continuous"/>
          <w:pgSz w:w="11906" w:h="16838"/>
          <w:pgMar w:top="403" w:left="850" w:right="850" w:bottom="2070" w:header="0" w:footer="3" w:gutter="374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ИП Дудаевой О.В. необоснованной.</w:t>
      </w:r>
    </w:p>
    <w:p>
      <w:pPr>
        <w:pStyle w:val="Style13"/>
        <w:framePr w:w="2746" w:h="212" w:wrap="none" w:vAnchor="text" w:hAnchor="margin" w:x="263" w:y="137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0"/>
          <w:spacing w:val="0"/>
        </w:rPr>
        <w:t>Председатель Комиссии:</w:t>
      </w:r>
    </w:p>
    <w:p>
      <w:pPr>
        <w:pStyle w:val="Style13"/>
        <w:framePr w:w="2008" w:h="215" w:wrap="none" w:vAnchor="text" w:hAnchor="margin" w:x="267" w:y="220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0"/>
          <w:spacing w:val="0"/>
        </w:rPr>
        <w:t>Члены Комиссии: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18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359" w:left="807" w:right="807" w:bottom="359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0" w:left="8578" w:right="662" w:bottom="621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-30"/>
    </w:rPr>
  </w:style>
  <w:style w:type="character" w:customStyle="1" w:styleId="CharStyle9">
    <w:name w:val="Заголовок №1"/>
    <w:basedOn w:val="CharStyle8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0">
    <w:name w:val="Заголовок №1 + 10 pt,Не курсив,Интервал 0 pt"/>
    <w:basedOn w:val="CharStyle8"/>
    <w:rPr>
      <w:lang w:val="ru-RU" w:eastAsia="ru-RU" w:bidi="ru-RU"/>
      <w:i/>
      <w:iCs/>
      <w:sz w:val="20"/>
      <w:szCs w:val="20"/>
      <w:w w:val="100"/>
      <w:spacing w:val="0"/>
      <w:color w:val="000000"/>
      <w:position w:val="0"/>
    </w:rPr>
  </w:style>
  <w:style w:type="character" w:customStyle="1" w:styleId="CharStyle11">
    <w:name w:val="Заголовок №1 + 10 pt,Не курсив,Интервал 0 pt"/>
    <w:basedOn w:val="CharStyle8"/>
    <w:rPr>
      <w:lang w:val="ru-RU" w:eastAsia="ru-RU" w:bidi="ru-RU"/>
      <w:i/>
      <w:iCs/>
      <w:sz w:val="20"/>
      <w:szCs w:val="20"/>
      <w:w w:val="100"/>
      <w:spacing w:val="0"/>
      <w:color w:val="000000"/>
      <w:position w:val="0"/>
    </w:rPr>
  </w:style>
  <w:style w:type="character" w:customStyle="1" w:styleId="CharStyle12">
    <w:name w:val="Заголовок №1 + Интервал 0 pt"/>
    <w:basedOn w:val="CharStyle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5">
    <w:name w:val="Основной текст"/>
    <w:basedOn w:val="CharStyle1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 + Полужирный"/>
    <w:basedOn w:val="CharStyle14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17">
    <w:name w:val="Основной текст +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9">
    <w:name w:val="Основной текст (4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120" w:line="23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jc w:val="both"/>
      <w:outlineLvl w:val="0"/>
      <w:spacing w:before="120" w:after="240" w:line="0" w:lineRule="exact"/>
    </w:pPr>
    <w:rPr>
      <w:b w:val="0"/>
      <w:bCs w:val="0"/>
      <w:i/>
      <w:iCs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-30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FFFFFF"/>
      <w:jc w:val="both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8">
    <w:name w:val="Основной текст (4)"/>
    <w:basedOn w:val="Normal"/>
    <w:link w:val="CharStyle19"/>
    <w:pPr>
      <w:widowControl w:val="0"/>
      <w:shd w:val="clear" w:color="auto" w:fill="FFFFFF"/>
      <w:jc w:val="center"/>
      <w:spacing w:before="480" w:after="36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