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461" w:left="2557" w:right="8691" w:bottom="442" w:header="0" w:footer="3" w:gutter="0"/>
          <w:rtlGutter w:val="0"/>
          <w:cols w:space="720"/>
          <w:noEndnote/>
          <w:docGrid w:linePitch="360"/>
        </w:sectPr>
      </w:pPr>
    </w:p>
    <w:p>
      <w:pPr>
        <w:widowControl w:val="0"/>
        <w:spacing w:before="24" w:after="2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40" w:lineRule="exact"/>
        <w:ind w:left="960" w:right="0" w:firstLine="0"/>
      </w:pPr>
      <w:r>
        <w:rPr>
          <w:lang w:val="ru-RU" w:eastAsia="ru-RU" w:bidi="ru-RU"/>
          <w:sz w:val="24"/>
          <w:szCs w:val="24"/>
          <w:w w:val="100"/>
          <w:spacing w:val="0"/>
          <w:color w:val="000000"/>
          <w:position w:val="0"/>
        </w:rPr>
        <w:t>ООО «Гудвилл»</w:t>
      </w:r>
    </w:p>
    <w:p>
      <w:pPr>
        <w:pStyle w:val="Style5"/>
        <w:widowControl w:val="0"/>
        <w:keepNext w:val="0"/>
        <w:keepLines w:val="0"/>
        <w:shd w:val="clear" w:color="auto" w:fill="auto"/>
        <w:bidi w:val="0"/>
        <w:jc w:val="left"/>
        <w:spacing w:before="0" w:after="666"/>
        <w:ind w:left="960" w:right="1580" w:firstLine="0"/>
      </w:pPr>
      <w:r>
        <w:rPr>
          <w:lang w:val="ru-RU" w:eastAsia="ru-RU" w:bidi="ru-RU"/>
          <w:w w:val="100"/>
          <w:spacing w:val="0"/>
          <w:color w:val="000000"/>
          <w:position w:val="0"/>
        </w:rPr>
        <w:t>ул. Большая Советская, д. 16/17, офис 2, г. Смоленск, Смоленская обл., 214000</w:t>
      </w:r>
    </w:p>
    <w:p>
      <w:pPr>
        <w:pStyle w:val="Style3"/>
        <w:widowControl w:val="0"/>
        <w:keepNext w:val="0"/>
        <w:keepLines w:val="0"/>
        <w:shd w:val="clear" w:color="auto" w:fill="auto"/>
        <w:bidi w:val="0"/>
        <w:jc w:val="both"/>
        <w:spacing w:before="0" w:after="0" w:line="298" w:lineRule="exact"/>
        <w:ind w:left="20" w:right="340" w:firstLine="0"/>
      </w:pPr>
      <w:r>
        <w:rPr>
          <w:lang w:val="ru-RU" w:eastAsia="ru-RU" w:bidi="ru-RU"/>
          <w:sz w:val="24"/>
          <w:szCs w:val="24"/>
          <w:w w:val="100"/>
          <w:spacing w:val="0"/>
          <w:color w:val="000000"/>
          <w:position w:val="0"/>
        </w:rPr>
        <w:t>В Управление Федеральной антимонопольной службы по Смоленской области 15.07.2020 по электронной почте поступила жалоба Общества с ограниченной ответственностью «Гудвилл» (далее также - Заявитель, Общество) на положения аукционной документации, действия аукционной комиссии государственного заказчика</w:t>
      </w:r>
    </w:p>
    <w:p>
      <w:pPr>
        <w:pStyle w:val="Style3"/>
        <w:numPr>
          <w:ilvl w:val="0"/>
          <w:numId w:val="1"/>
        </w:numPr>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 xml:space="preserve"> Департамента Смоленской области по образованию и науке, уполномоченного органа</w:t>
      </w:r>
    </w:p>
    <w:p>
      <w:pPr>
        <w:pStyle w:val="Style3"/>
        <w:numPr>
          <w:ilvl w:val="0"/>
          <w:numId w:val="1"/>
        </w:numPr>
        <w:widowControl w:val="0"/>
        <w:keepNext w:val="0"/>
        <w:keepLines w:val="0"/>
        <w:shd w:val="clear" w:color="auto" w:fill="auto"/>
        <w:bidi w:val="0"/>
        <w:jc w:val="both"/>
        <w:spacing w:before="0" w:after="0" w:line="298" w:lineRule="exact"/>
        <w:ind w:left="20" w:right="340" w:firstLine="0"/>
      </w:pPr>
      <w:r>
        <w:rPr>
          <w:lang w:val="ru-RU" w:eastAsia="ru-RU" w:bidi="ru-RU"/>
          <w:sz w:val="24"/>
          <w:szCs w:val="24"/>
          <w:w w:val="100"/>
          <w:spacing w:val="0"/>
          <w:color w:val="000000"/>
          <w:position w:val="0"/>
        </w:rPr>
        <w:t xml:space="preserve"> Главного управления Смоленской области по регулированию контрактной системы при проведении электронного аукциона «Поставка оборудования для внедрения целевой модели цифровой образовательной среды в общеобразовательных организациях и профессиональных образовательных организациях в рамках реализации регионального проекта «Цифровая образовательная среда» национального проекта «Образование» (извещение №0163200000320004295), которая не может быть принята к рассмотрению по следующим основаниям.</w:t>
      </w:r>
    </w:p>
    <w:p>
      <w:pPr>
        <w:pStyle w:val="Style3"/>
        <w:widowControl w:val="0"/>
        <w:keepNext w:val="0"/>
        <w:keepLines w:val="0"/>
        <w:shd w:val="clear" w:color="auto" w:fill="auto"/>
        <w:bidi w:val="0"/>
        <w:jc w:val="both"/>
        <w:spacing w:before="0" w:after="0" w:line="298" w:lineRule="exact"/>
        <w:ind w:left="20" w:right="340" w:firstLine="720"/>
      </w:pPr>
      <w:r>
        <w:rPr>
          <w:lang w:val="ru-RU" w:eastAsia="ru-RU" w:bidi="ru-RU"/>
          <w:sz w:val="24"/>
          <w:szCs w:val="24"/>
          <w:w w:val="100"/>
          <w:spacing w:val="0"/>
          <w:color w:val="000000"/>
          <w:position w:val="0"/>
        </w:rPr>
        <w:t>В соответствии с частью 1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данного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3"/>
        <w:widowControl w:val="0"/>
        <w:keepNext w:val="0"/>
        <w:keepLines w:val="0"/>
        <w:shd w:val="clear" w:color="auto" w:fill="auto"/>
        <w:bidi w:val="0"/>
        <w:jc w:val="both"/>
        <w:spacing w:before="0" w:after="226" w:line="298" w:lineRule="exact"/>
        <w:ind w:left="20" w:right="340" w:firstLine="720"/>
      </w:pPr>
      <w:r>
        <w:rPr>
          <w:lang w:val="ru-RU" w:eastAsia="ru-RU" w:bidi="ru-RU"/>
          <w:sz w:val="24"/>
          <w:szCs w:val="24"/>
          <w:w w:val="100"/>
          <w:spacing w:val="0"/>
          <w:color w:val="000000"/>
          <w:position w:val="0"/>
        </w:rPr>
        <w:t>Согласно части 4 статьи 105 Закона обжалование действий (бездействия) заказчика, уполномоченного органа, комиссии по осуществлению закупок, ее членов в случае, если данные действия (бездействие) совершены при проведении электронной процедуры, осуществляется в порядке, установленном указанной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электронного аукциона или протокола рассмотрения единственной заявки на участие в электронном аукционе, протокола рассмотрения заявки</w:t>
      </w:r>
    </w:p>
    <w:p>
      <w:pPr>
        <w:pStyle w:val="Style7"/>
        <w:widowControl w:val="0"/>
        <w:keepNext/>
        <w:keepLines/>
        <w:shd w:val="clear" w:color="auto" w:fill="auto"/>
        <w:bidi w:val="0"/>
        <w:spacing w:before="0" w:after="0" w:line="240" w:lineRule="exact"/>
        <w:ind w:left="0" w:right="220" w:firstLine="0"/>
      </w:pPr>
      <w:bookmarkStart w:id="0" w:name="bookmark0"/>
      <w:r>
        <w:rPr>
          <w:rStyle w:val="CharStyle9"/>
        </w:rPr>
        <w:t>028599</w:t>
      </w:r>
      <w:bookmarkEnd w:id="0"/>
    </w:p>
    <w:p>
      <w:pPr>
        <w:pStyle w:val="Style3"/>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единственного участника на участие в электронном аукционе при признании соответствующей электронной процедуры несостоявшейся. Жалоба на положения документации и (или) извещения о проведении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комиссии по осуществлению закупок осуществляется только в судебном порядке.</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Пунктом 4 части 8 статьи 105 Закона определено, что жалоба на действия (бездействие) заказчика, уполномоченного органа, комиссии по осуществлению закупок, ее членов, должна содержать указание на обжалуемые действия (бездействие) заказчика, уполномоченного органа, комиссии по осуществлению закупок, ее членов, доводы жалобы.</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сведений, представленных в единой информационной системе в сфере закупок, дата и время окончания срока подачи заявок на участие в указанном электронном аукционе 03.07.2020 в 09:00; протокол рассмотрения заявок на участие в электронном аукционе от 06.07.2020 №0163200000320004295-1 размещён 06.07.2020 в 17:33; протокол подведения итогов электронного аукциона от 13.07.2020 №0163200000320004295-3 размещён 13.07.2020 в 17:21.</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Жалоба ООО «Гудвилл» на действия государственного заказчика - Департамента Смоленской области по образованию и науке, уполномоченного органа - Главного управления Смоленской области по регулированию контрактной системы поступила в Управление 15.07.2020 в 17:14, т.е. после окончания срока подачи жалобы на положения документации о проведении электронной процедуры, определенного в части 4 статьи 105 Закона.</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При этом, сведений об участии Общества в указанном выше электронном аукционе Заявителем в жалобе не представлено, из доводов жалобы и приложенных к жалобе документов не следует. Таким образом, определить, является ли Общество с ограниченной ответственностью «Гудвилл» участником закупки, не представляется возможным.</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Следовательно, право обжалования действий (бездействия) аукционной комиссии государственного заказчика - Департамента Смоленской области по образованию и науке, уполномоченного органа - Главного управления Смоленской области по регулированию контрактной системы при рассмотрении вторых частей заявок на участие в электронном аукционе у Общества не возникло.</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Пунктом 3 части 11 статьи 105 вышеуказанного закона предусмотрено, что жалоба возвращается подавшему ее лицу без рассмотрения в случае, если жалоба подана по истечении срока, предусмотренного данной статьей.</w:t>
      </w:r>
    </w:p>
    <w:p>
      <w:pPr>
        <w:pStyle w:val="Style3"/>
        <w:widowControl w:val="0"/>
        <w:keepNext w:val="0"/>
        <w:keepLines w:val="0"/>
        <w:shd w:val="clear" w:color="auto" w:fill="auto"/>
        <w:bidi w:val="0"/>
        <w:jc w:val="both"/>
        <w:spacing w:before="0" w:after="540" w:line="298" w:lineRule="exact"/>
        <w:ind w:left="20" w:right="20" w:firstLine="700"/>
      </w:pPr>
      <w:r>
        <w:rPr>
          <w:lang w:val="ru-RU" w:eastAsia="ru-RU" w:bidi="ru-RU"/>
          <w:sz w:val="24"/>
          <w:szCs w:val="24"/>
          <w:w w:val="100"/>
          <w:spacing w:val="0"/>
          <w:color w:val="000000"/>
          <w:position w:val="0"/>
        </w:rPr>
        <w:t>Учитывая вышеизложенное, Смоленским УФАС России принято решение возвратить жалобу Общества с ограниченной ответственностью «Гудвилл» подавшему её лицу без рассмотрения по основаниям, указанным в пункте 3 части 11 статьи 105 Федерального закона от 05.04.2013 № 44-ФЗ «О контрактной системе в сфере</w:t>
        <w:br w:type="page"/>
        <w:t>закупок товаров, работ, услуг для обеспечения государственных и муниципальных нужд», в связи с тем, что жалоба подана по истечении срока, предусмотренного данной статьей.</w:t>
      </w:r>
    </w:p>
    <w:p>
      <w:pPr>
        <w:pStyle w:val="Style10"/>
        <w:widowControl w:val="0"/>
        <w:keepNext w:val="0"/>
        <w:keepLines w:val="0"/>
        <w:shd w:val="clear" w:color="auto" w:fill="auto"/>
        <w:bidi w:val="0"/>
        <w:spacing w:before="0" w:after="0"/>
        <w:ind w:left="20" w:right="20"/>
        <w:sectPr>
          <w:type w:val="continuous"/>
          <w:pgSz w:w="11906" w:h="16838"/>
          <w:pgMar w:top="954" w:left="829" w:right="757" w:bottom="710" w:header="0" w:footer="3" w:gutter="0"/>
          <w:rtlGutter w:val="0"/>
          <w:cols w:space="720"/>
          <w:noEndnote/>
          <w:docGrid w:linePitch="360"/>
        </w:sectPr>
      </w:pPr>
      <w:r>
        <w:rPr>
          <w:lang w:val="ru-RU" w:eastAsia="ru-RU" w:bidi="ru-RU"/>
          <w:sz w:val="24"/>
          <w:szCs w:val="24"/>
          <w:w w:val="100"/>
          <w:spacing w:val="0"/>
          <w:color w:val="000000"/>
          <w:position w:val="0"/>
        </w:rPr>
        <w:t>В соответствии с частью 14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решение о возвращении жалобы может быть обжаловано в судебном порядке.</w:t>
      </w:r>
    </w:p>
    <w:p>
      <w:pPr>
        <w:widowControl w:val="0"/>
        <w:spacing w:line="240" w:lineRule="exact"/>
        <w:rPr>
          <w:sz w:val="19"/>
          <w:szCs w:val="19"/>
        </w:rPr>
      </w:pPr>
    </w:p>
    <w:p>
      <w:pPr>
        <w:widowControl w:val="0"/>
        <w:spacing w:line="240" w:lineRule="exact"/>
        <w:rPr>
          <w:sz w:val="19"/>
          <w:szCs w:val="19"/>
        </w:rPr>
      </w:pPr>
    </w:p>
    <w:p>
      <w:pPr>
        <w:widowControl w:val="0"/>
        <w:spacing w:before="90" w:after="9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40" w:wrap="around" w:vAnchor="text" w:hAnchor="margin" w:x="8039" w:y="586"/>
        <w:widowControl w:val="0"/>
        <w:keepNext w:val="0"/>
        <w:keepLines w:val="0"/>
        <w:shd w:val="clear" w:color="auto" w:fill="auto"/>
        <w:bidi w:val="0"/>
        <w:jc w:val="left"/>
        <w:spacing w:before="0" w:after="0" w:line="240" w:lineRule="exact"/>
        <w:ind w:left="100" w:right="0" w:firstLine="0"/>
      </w:pPr>
      <w:r>
        <w:rPr>
          <w:rStyle w:val="CharStyle12"/>
        </w:rPr>
        <w:t>Н.А. Мишенькина</w:t>
      </w:r>
    </w:p>
    <w:p>
      <w:pPr>
        <w:pStyle w:val="Style3"/>
        <w:widowControl w:val="0"/>
        <w:keepNext w:val="0"/>
        <w:keepLines w:val="0"/>
        <w:shd w:val="clear" w:color="auto" w:fill="auto"/>
        <w:bidi w:val="0"/>
        <w:jc w:val="left"/>
        <w:spacing w:before="0" w:after="9118" w:line="298" w:lineRule="exact"/>
        <w:ind w:left="0" w:right="200" w:firstLine="0"/>
      </w:pPr>
      <w:r>
        <w:rPr>
          <w:lang w:val="ru-RU" w:eastAsia="ru-RU" w:bidi="ru-RU"/>
          <w:sz w:val="24"/>
          <w:szCs w:val="24"/>
          <w:w w:val="100"/>
          <w:spacing w:val="0"/>
          <w:color w:val="000000"/>
          <w:position w:val="0"/>
        </w:rPr>
        <w:t>Временно исполняющий обязанности руководителя Смоленского УФАС России</w:t>
      </w:r>
    </w:p>
    <w:p>
      <w:pPr>
        <w:pStyle w:val="Style5"/>
        <w:widowControl w:val="0"/>
        <w:keepNext w:val="0"/>
        <w:keepLines w:val="0"/>
        <w:shd w:val="clear" w:color="auto" w:fill="auto"/>
        <w:bidi w:val="0"/>
        <w:jc w:val="left"/>
        <w:spacing w:before="0" w:after="0" w:line="226" w:lineRule="exact"/>
        <w:ind w:left="0" w:right="200" w:firstLine="0"/>
      </w:pPr>
      <w:r>
        <w:rPr>
          <w:lang w:val="ru-RU" w:eastAsia="ru-RU" w:bidi="ru-RU"/>
          <w:w w:val="100"/>
          <w:spacing w:val="0"/>
          <w:color w:val="000000"/>
          <w:position w:val="0"/>
        </w:rPr>
        <w:t>Исп.: Петроченкова Ольга Васильевна (4812) 68-36-46</w:t>
      </w:r>
    </w:p>
    <w:sectPr>
      <w:type w:val="continuous"/>
      <w:pgSz w:w="11906" w:h="16838"/>
      <w:pgMar w:top="1021" w:left="961" w:right="7451" w:bottom="102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18"/>
      <w:szCs w:val="18"/>
      <w:rFonts w:ascii="Times New Roman" w:eastAsia="Times New Roman" w:hAnsi="Times New Roman" w:cs="Times New Roman"/>
    </w:rPr>
  </w:style>
  <w:style w:type="character" w:customStyle="1" w:styleId="CharStyle8">
    <w:name w:val="Заголовок №1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9">
    <w:name w:val="Заголовок №1 + Интервал 2 pt"/>
    <w:basedOn w:val="CharStyle8"/>
    <w:rPr>
      <w:lang w:val="ru-RU" w:eastAsia="ru-RU" w:bidi="ru-RU"/>
      <w:sz w:val="24"/>
      <w:szCs w:val="24"/>
      <w:w w:val="100"/>
      <w:spacing w:val="50"/>
      <w:color w:val="000000"/>
      <w:position w:val="0"/>
    </w:rPr>
  </w:style>
  <w:style w:type="character" w:customStyle="1" w:styleId="CharStyle11">
    <w:name w:val="Основной текст (3)_"/>
    <w:basedOn w:val="DefaultParagraphFont"/>
    <w:link w:val="Style10"/>
    <w:rPr>
      <w:b w:val="0"/>
      <w:bCs w:val="0"/>
      <w:i/>
      <w:iCs/>
      <w:u w:val="none"/>
      <w:strike w:val="0"/>
      <w:smallCaps w:val="0"/>
      <w:rFonts w:ascii="Times New Roman" w:eastAsia="Times New Roman" w:hAnsi="Times New Roman" w:cs="Times New Roman"/>
    </w:rPr>
  </w:style>
  <w:style w:type="character" w:customStyle="1" w:styleId="CharStyle12">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60" w:after="300"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jc w:val="right"/>
      <w:outlineLvl w:val="0"/>
      <w:spacing w:before="180" w:line="0"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both"/>
      <w:spacing w:before="540" w:line="298" w:lineRule="exact"/>
      <w:ind w:firstLine="72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