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Синяпкину С.С.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1" w:left="6440" w:right="1414" w:bottom="4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346900, Ростовская область, г. Новошахтинск, ул. Садовая 31 «А» кв. 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4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12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Ростовское У ФАС Росс</w:t>
      </w:r>
      <w:r>
        <w:rPr>
          <w:rStyle w:val="CharStyle9"/>
        </w:rPr>
        <w:t>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поступила жалоба ИП Синяпкина С. С. на действия Администрации города Новошахтинска (далее - Заказчик) при проведении электронного аукциона № 0158300056720000074 «Приобретение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ч.7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9"/>
        </w:rPr>
        <w:t>подписывается подающим ее лицом или его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представителем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2483" w:val="left"/>
          <w:tab w:leader="none" w:pos="5430" w:val="left"/>
          <w:tab w:leader="none" w:pos="990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9"/>
        </w:rPr>
        <w:t>частью 1 статьи 6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63-ФЗ "Об электронной</w:t>
        <w:tab/>
        <w:t>подписи", информация</w:t>
        <w:tab/>
        <w:t>в электронной форме,</w:t>
        <w:tab/>
        <w:t>подписанная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по электронной почте. Электронная подпись лица, подавшего жалобу, в полученных документах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Вв</w:t>
      </w:r>
      <w:r>
        <w:rPr>
          <w:rStyle w:val="CharStyle9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ду изложенного и на основании п.п. 1,2 ч.11 ст. 105 Закона Ростовским У ФАС России принято решение о возврате ИП Синяпкину С.С.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60" w:right="0" w:firstLine="560"/>
        <w:sectPr>
          <w:type w:val="continuous"/>
          <w:pgSz w:w="11906" w:h="16838"/>
          <w:pgMar w:top="521" w:left="906" w:right="1074" w:bottom="4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10" w:wrap="around" w:hAnchor="margin" w:x="8342" w:y="1229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0"/>
          <w:spacing w:val="0"/>
        </w:rPr>
        <w:t>Т.С. Акопян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39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1"/>
        <w:framePr w:h="320" w:wrap="notBeside" w:vAnchor="text" w:hAnchor="margin" w:x="8769" w:y="350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008312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40" w:right="1660" w:firstLine="0"/>
        <w:sectPr>
          <w:type w:val="continuous"/>
          <w:pgSz w:w="11906" w:h="16838"/>
          <w:pgMar w:top="521" w:left="1069" w:right="7779" w:bottom="41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Исп.Шапранова О.А. </w:t>
      </w:r>
      <w:r>
        <w:rPr>
          <w:rStyle w:val="CharStyle15"/>
        </w:rPr>
        <w:t>(</w:t>
      </w:r>
      <w:r>
        <w:rPr>
          <w:rStyle w:val="CharStyle16"/>
        </w:rPr>
        <w:t>863</w:t>
      </w:r>
      <w:r>
        <w:rPr>
          <w:rStyle w:val="CharStyle15"/>
        </w:rPr>
        <w:t>)</w:t>
      </w:r>
      <w:r>
        <w:rPr>
          <w:rStyle w:val="CharStyle16"/>
        </w:rPr>
        <w:t>240</w:t>
      </w:r>
      <w:r>
        <w:rPr>
          <w:rStyle w:val="CharStyle15"/>
        </w:rPr>
        <w:t>-</w:t>
      </w:r>
      <w:r>
        <w:rPr>
          <w:rStyle w:val="CharStyle16"/>
        </w:rPr>
        <w:t>86-88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25"/>
        <w:ind w:left="4320" w:right="9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344006 г. Ростов-на-Дону Пр. Ворошиловский 2/2 оф.403 Руководителю Управления Федеральной антимонопольной службы по Ростовской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302" w:line="298" w:lineRule="exact"/>
        <w:ind w:left="4320" w:right="98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 ИП Синяпкина Сергей Сергеевич 346900 Ростовская область г. Новошахтинск Ул.Садовая 31 «А» кв.5 Тел.89286018903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4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65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нарушении антимонопольного законодательства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Администрация города Новошахтинска (346900, Ростовская область, г. Новошахтинск, ул. Харьковская 58, </w:t>
      </w:r>
      <w:r>
        <w:fldChar w:fldCharType="begin"/>
      </w:r>
      <w:r>
        <w:rPr>
          <w:rStyle w:val="CharStyle9"/>
        </w:rPr>
        <w:instrText> HYPERLINK "mailto:admin@novoshakhtinsk.org" </w:instrText>
      </w:r>
      <w:r>
        <w:fldChar w:fldCharType="separate"/>
      </w:r>
      <w:r>
        <w:rPr>
          <w:rStyle w:val="Hyperlink"/>
          <w:lang w:val="en-US" w:eastAsia="en-US" w:bidi="en-US"/>
        </w:rPr>
        <w:t>admin@novoshakhtinsk.org</w:t>
      </w:r>
      <w:r>
        <w:fldChar w:fldCharType="end"/>
      </w:r>
      <w:r>
        <w:rPr>
          <w:rStyle w:val="CharStyle9"/>
          <w:lang w:val="en-US" w:eastAsia="en-US" w:bidi="en-US"/>
        </w:rPr>
        <w:t>.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тел.88636923024) на электронной площадке Сбербанк-АСТ </w:t>
      </w:r>
      <w:r>
        <w:rPr>
          <w:rStyle w:val="CharStyle9"/>
          <w:lang w:val="en-US" w:eastAsia="en-US" w:bidi="en-US"/>
        </w:rPr>
        <w:t>(</w:t>
      </w:r>
      <w:r>
        <w:fldChar w:fldCharType="begin"/>
      </w:r>
      <w:r>
        <w:rPr>
          <w:rStyle w:val="CharStyle9"/>
        </w:rPr>
        <w:instrText> HYPERLINK "https://www.sberbank-ast.ru/" </w:instrText>
      </w:r>
      <w:r>
        <w:fldChar w:fldCharType="separate"/>
      </w:r>
      <w:r>
        <w:rPr>
          <w:rStyle w:val="Hyperlink"/>
          <w:lang w:val="en-US" w:eastAsia="en-US" w:bidi="en-US"/>
        </w:rPr>
        <w:t>https://www.sberbank-ast.ru/</w:t>
      </w:r>
      <w:r>
        <w:fldChar w:fldCharType="end"/>
      </w:r>
      <w:r>
        <w:rPr>
          <w:rStyle w:val="CharStyle9"/>
          <w:lang w:val="en-US" w:eastAsia="en-US" w:bidi="en-US"/>
        </w:rPr>
        <w:t>)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20.07.2020г. разместила Аукционную документацию за номером </w:t>
      </w:r>
      <w:r>
        <w:rPr>
          <w:rStyle w:val="CharStyle19"/>
        </w:rPr>
        <w:t xml:space="preserve">0158300056720000074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для проведения открытого аукциона в электронной форме на Приобретение муниципальным образованием «Город Новошахтинск» в собственность благоустроенного жилого помещения для использования в качестве жилого помещения специализированного жилищного фонда для детей-сирот и детей, оставшихся без попечения родителей, лиц из числа детей-сирот и детей, оставшимся без попечения родителей.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вышеуказанную Аукционную документацию, считаю, что она носит противоречивый и запутанный характер, многие пункты имеют двоякое толкование, на основании этого полагаю, что аукционная документация содержит признаки нарушения антимонопольного законодательства и может ограничивать круг возможных участников закупки по следующим основаниям:</w:t>
      </w:r>
    </w:p>
    <w:p>
      <w:pPr>
        <w:pStyle w:val="Style3"/>
        <w:numPr>
          <w:ilvl w:val="0"/>
          <w:numId w:val="1"/>
        </w:numPr>
        <w:tabs>
          <w:tab w:leader="none" w:pos="99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п. 12. ИНСТРУКЦИИ ПО ЗАПОЛНЕНИЮ ЗАЯВКИ НА УЧАСТИЕ В АУКЦИОНЕ , заказчик устанавливает следующее </w:t>
      </w:r>
      <w:r>
        <w:rPr>
          <w:rStyle w:val="CharStyle20"/>
        </w:rPr>
        <w:t xml:space="preserve">не законное требование,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именно « Если в техническом задании устанавливается показатель, характеризующий территориальное расположение товара относительно муниципального образования, значение которого сопровождается фразой «в границах» </w:t>
      </w:r>
      <w:r>
        <w:rPr>
          <w:rStyle w:val="CharStyle20"/>
        </w:rPr>
        <w:t xml:space="preserve">«на территории»,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участником аукциона в заявке устанавливается конкретный адрес. ПРИМЕР Показатель, установленный в техническом задании: «Расположение жилого помещения на территории города Новошахтинска», </w:t>
      </w:r>
      <w:r>
        <w:rPr>
          <w:rStyle w:val="CharStyle9"/>
        </w:rPr>
        <w:t>предложение участника: «Расположение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жилого помещения в Ростовской области, городе Новошахтинске. улица Харьковская, дом 55.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квартира 7».»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9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Данное требование не относится к минимальны, максимальным характеристикам используемого товара, приобретаемого имущества. Более того заказчиком в разделе : «Требования к приобретаемому жилому помещению (квартире) по качеству, техническим и функциональным характеристикам и параметрам» указано повторно два раза данное требование: «1. Предметом открытого аукциона в электронной форме, является приобретение жилого помещения. Жилое помещение должно быть расположено </w:t>
      </w:r>
      <w:r>
        <w:rPr>
          <w:rStyle w:val="CharStyle20"/>
        </w:rPr>
        <w:t xml:space="preserve">на территории города Новошахтинска.»,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так же в техническом задании на стр. 48 документации указано «Жилое помещение должно быть расположено </w:t>
      </w:r>
      <w:r>
        <w:rPr>
          <w:rStyle w:val="CharStyle20"/>
        </w:rPr>
        <w:t xml:space="preserve">на территории города Новошахтинска.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Жилое помещение должно быть изолированное, благоустроенное, готовое к постоянному проживанию, не требующим капитального и текущего ремонта, в том числе косметического ремонта, быть пригодным для постоянного проживания.»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заявка участника будет не соответствовать требованиям если слово «территория» не будет заменено адресом.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4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на стр.49 документации заказчиком опять установлено требование «Предметом открытого аукциона в электронной форме, является приобретение жилого помещения. Жилое помещение должно быть расположено на территории города Новошахтинска.»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36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вышеперечисленного следует, что заказчик не имеет своей целью указания конкретного адреса нахождения имущества, а имеет целью запутать участника закупки и в случае не указания точного адреса после слов « на территории» отклонить участника.</w:t>
      </w:r>
    </w:p>
    <w:p>
      <w:pPr>
        <w:pStyle w:val="Style3"/>
        <w:numPr>
          <w:ilvl w:val="0"/>
          <w:numId w:val="1"/>
        </w:numPr>
        <w:tabs>
          <w:tab w:leader="none" w:pos="81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84"/>
        <w:ind w:left="20" w:right="20" w:firstLine="4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в инструкции по заполнению заявки установлено, что «При установлении требований, сопровождаемых словами «значение показателя является неизменным», участником аукциона должны быть указаны </w:t>
      </w:r>
      <w:r>
        <w:rPr>
          <w:rStyle w:val="CharStyle9"/>
        </w:rPr>
        <w:t>конкретные показатели,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соответствующие значению показателей в Техническом задании и не подлежащие изменению.» Что имелось ввиду? Как конкретные показатели должны соответствовать значению показателей. В данном случае заказчик скорее всего имел ввиду указывать не конкретные показатели, а конкретные значения показателей.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инструкции по подготовке заявки на участие, Заказчиком установлено следующее требование: «11. Если в техническом задании при указании конкретного показателя по значению показателя вида </w:t>
      </w:r>
      <w:r>
        <w:rPr>
          <w:rStyle w:val="CharStyle20"/>
        </w:rPr>
        <w:t xml:space="preserve">«от х», где «х» - нижнее числовое значение, участник закупки должен указать конкретное значение показателя большее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указании конкретного показателя по значению показателя вида «х и более», где «х» - нижнее числовое значение, участник закупки должен указать два конкретных значения показателя: равное и большее «х». При указании конкретного показателя по значению показателя вида </w:t>
      </w:r>
      <w:r>
        <w:rPr>
          <w:rStyle w:val="CharStyle20"/>
        </w:rPr>
        <w:t xml:space="preserve">«до х», где «х» - верхнее числовое значение, участник закупки должен указать конкретное значение показателя меньшее «х».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При указании конкретного показателя по значению показателя вида «от х до у», где «х» - нижнее числовое значение, а «у» - верхнее числовое значение, участник закупки должен указать конкретное значение показателя, входящее в данный диапазон, рассчитанный с учетом положений данной инструкции, касающихся слов «от» и «до».» Из вышеперечисленного следует, что заказчик трактует «от» и «до».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76" w:line="27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Считаем данное требование не законным, заказчик вводит в заблуждение когда устанавливает «от х» где «от» это более и «до» трактуется как «менее». То есть минимальное и максимальное значение не входят в диапазон. Следует отметить, что в технических документах, законодатель установил, что крайние числа включаются в диапазон; во многих об</w:t>
      </w:r>
      <w:r>
        <w:rPr>
          <w:rStyle w:val="CharStyle9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х частях технических нормативов даже есть оговорки на этот счет. Заказчик подменяет общепринятые понятия, чем вводит в заблуждение участников, что ведет к отклонению заявки.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установлены в технической части противоречивые требования, не позволяющие сделать правильное и верное предложение, а именно «В многоквартирных зданиях, в жилых помещениях </w:t>
      </w:r>
      <w:r>
        <w:rPr>
          <w:rStyle w:val="CharStyle20"/>
        </w:rPr>
        <w:t xml:space="preserve">предусмотрены общие жилые комнаты, спальни (возможно наличие при условии если жилом помещении двух- или трех- и более жилых комнат),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 также вспомогательные помещения: кухню (или кухню-столовую, кухню-нишу), переднюю (прихожую), туалет, ванную комнату и (или) душевую, или совмещенный санузел, </w:t>
      </w:r>
      <w:r>
        <w:rPr>
          <w:rStyle w:val="CharStyle20"/>
        </w:rPr>
        <w:t>или кладовую (или встроенный шкаф)»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3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определить потребность заказчика, если через запятую указано - </w:t>
      </w:r>
      <w:r>
        <w:rPr>
          <w:rStyle w:val="CharStyle9"/>
        </w:rPr>
        <w:t>должны быть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9"/>
        </w:rPr>
        <w:t>предусмотрены общие жилые комнаты, спальни,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но при этом поясняется что это относится к помещениям двух- или трех- и более жилых комнат. Получается данным требованием заказчик устанавливает запрет на однокомнатные квартиры?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 есть должны быть установлены жилые комнаты, спальни, заказчик употребляя через запятую во множественном числе требует наличие минимум двухкомнатное помещение ? и тут же в скобках уточняет, что возможно наличие при условии если в помещении двух- или трех и более жилых комнат. На основании вышеперечисленного не понятно какое помещение требуется заказчику, так как изначально требует что «предусмотрены» и тут же указывает что «возможно наличие при условии....»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предложение однокомнатной квартиры, заявка участника может быть отклонена так как следует предусматривать жилые комнаты, спальни и тут же при условии что если жилое помещение двух или трех и более жилых комнат.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Нами планируется предложение заказчику однокомнатной квартиры, однако не представляется возможным правильного изложения данного пункта в своей заявке, не влекущего отклонения заявки.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00"/>
      </w:pPr>
      <w:r>
        <w:rPr>
          <w:rStyle w:val="CharStyle21"/>
          <w:b w:val="0"/>
          <w:bCs w:val="0"/>
        </w:rPr>
        <w:t xml:space="preserve">Так же в данном пункте заказчиком установлено «а также вспомогательные помещения: кухню (или кухню-столовую, кухню-нишу),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переднюю (прихожую), туалет, ванную комнату и (или) душевую, или совмещенный санузел, или кладовую (или встроенный шкаф)». В данном случае не понятна потребность заказчика, а именно что означает переднюю (прихожую). Так же не понятно «или кладовую (или встроенный шкаф)» к чему на выбор относится кладовая, если до этого указано туалет, ванную комнату и (или) душевую, или совмещенный санузел.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Данный пункт заказчиком закручен, а инструкции не состоятельна, так как не дает полного понимания раскрытия информации в скобках. При подготовке заявки участник руководствуется догадками, что именно имел ввиду заказчик. Следует отметить, что запутанные требования ведут к намеренному не допуску участников закупки.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71" w:line="322" w:lineRule="exact"/>
        <w:ind w:left="40" w:right="20" w:firstLine="8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инструкции по заполнению заявки «13. Символ «( )» означают пояснение, либо содержит значение показателя, которое должно быть конкретизировано участником.» Как определить ту грань, где в скобках пояснение, а где необходимо конкретизировать. Заказчиком данное требование вводит в заблуждение участников.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24.07.2020 было внесено изменение в аукционную документацию с изменением сроков окончания подачи заявки с 28.07.2020 до 03.08.2020. Из-за большого объема самой документации изменения тяжело идентифицировать. Был задан вопрос аукционной комиссии, с просьбой уточнить какие именно были внесены изменения.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что Заказчик ответил: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0"/>
      </w:pPr>
      <w:r>
        <w:rPr>
          <w:rStyle w:val="CharStyle24"/>
          <w:i/>
          <w:iCs/>
        </w:rPr>
        <w:t xml:space="preserve">«Разъяснение: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Уважаемый участник закупки!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Вся информация об объекте закупки представлена в составе аукционной документации и размещена в общем доступе Единой информационной системы в сфере закупок в новой редакции в полном объёме.»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ответа видно, что заказчик не имеет намерений разъяснить и помочь участнику закупки, а лишь дополнительно усложняет и запутывает состав аукционной документации.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ст. 23 Федерального закона от 26.07.2006г. №135 ФЗ «О защите конкуренции»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8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ПРОШУ: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действие электронного аукциона № </w:t>
      </w:r>
      <w:r>
        <w:rPr>
          <w:rStyle w:val="CharStyle25"/>
        </w:rPr>
        <w:t>0158300056720000074</w:t>
      </w:r>
      <w:r>
        <w:rPr>
          <w:rStyle w:val="CharStyle26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Обязать аукционную комиссию внести изменения в аукционную документацию.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Провести внеплановую проверку.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Привлечь внимание прокуратуры Ростовской области к действиям Администрации Новошахтинска в части проведения закупок, поскольку ситуация повторяется уже в третий раз и Администрация не реагирует качественным образом на предписания антимонопольной службы.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извещения о проведении аукциона.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аукционной документации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40" w:right="0" w:firstLine="720"/>
        <w:sectPr>
          <w:type w:val="continuous"/>
          <w:pgSz w:w="11906" w:h="16838"/>
          <w:pgMar w:top="803" w:left="948" w:right="921" w:bottom="803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Копия ответа на запрос разъяснения аукционной документации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30" w:lineRule="exact"/>
      </w:pPr>
    </w:p>
    <w:p>
      <w:pPr>
        <w:widowControl w:val="0"/>
        <w:rPr>
          <w:sz w:val="2"/>
          <w:szCs w:val="2"/>
        </w:rPr>
      </w:pPr>
    </w:p>
    <w:sectPr>
      <w:type w:val="continuous"/>
      <w:pgSz w:w="11906" w:h="16838"/>
      <w:pgMar w:top="385" w:left="889" w:right="889" w:bottom="3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12">
    <w:name w:val="Основной текст (5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character" w:customStyle="1" w:styleId="CharStyle14">
    <w:name w:val="Основной текст (4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5">
    <w:name w:val="Основной текст (4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6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Основной текст + 12 pt,Полужирный"/>
    <w:basedOn w:val="CharStyle4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1">
    <w:name w:val="Основной текст (6) + Не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4">
    <w:name w:val="Основной текст (7) + Полужирный"/>
    <w:basedOn w:val="CharStyle2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5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Основной текст + Arial,11,5 pt"/>
    <w:basedOn w:val="CharStyle4"/>
    <w:rPr>
      <w:lang w:val="ru-RU" w:eastAsia="ru-RU" w:bidi="ru-RU"/>
      <w:sz w:val="23"/>
      <w:szCs w:val="23"/>
      <w:rFonts w:ascii="Arial" w:eastAsia="Arial" w:hAnsi="Arial" w:cs="Arial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27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after="240" w:line="26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5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</w:rPr>
  </w:style>
  <w:style w:type="paragraph" w:customStyle="1" w:styleId="Style13">
    <w:name w:val="Основной текст (4)"/>
    <w:basedOn w:val="Normal"/>
    <w:link w:val="CharStyle14"/>
    <w:pPr>
      <w:widowControl w:val="0"/>
      <w:shd w:val="clear" w:color="auto" w:fill="FFFFFF"/>
      <w:spacing w:before="2700" w:line="154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after="240" w:line="27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jc w:val="both"/>
      <w:spacing w:line="283" w:lineRule="exact"/>
    </w:pPr>
    <w:rPr>
      <w:b w:val="0"/>
      <w:bCs w:val="0"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