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422" w:wrap="around" w:vAnchor="text" w:hAnchor="margin" w:x="77" w:y="1445"/>
        <w:widowControl w:val="0"/>
        <w:keepNext w:val="0"/>
        <w:keepLines w:val="0"/>
        <w:shd w:val="clear" w:color="auto" w:fill="auto"/>
        <w:bidi w:val="0"/>
        <w:jc w:val="left"/>
        <w:spacing w:before="0" w:after="0" w:line="4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ХИМСПЕЦСТРОЙ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2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 18400, Пермский край, г. Березники Чуртанское шоссе, </w:t>
      </w:r>
      <w:r>
        <w:rPr>
          <w:rStyle w:val="CharStyle7"/>
          <w:b/>
          <w:bCs/>
        </w:rPr>
        <w:t xml:space="preserve">15 ИНН/КПП 5911058276/591101001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 (3424) 26-31-87, (3424) 26-31-87 </w:t>
      </w:r>
      <w:r>
        <w:rPr>
          <w:rStyle w:val="CharStyle8"/>
          <w:b/>
          <w:bCs/>
        </w:rPr>
        <w:t xml:space="preserve">E-mail: </w:t>
      </w:r>
      <w:r>
        <w:fldChar w:fldCharType="begin"/>
      </w:r>
      <w:r>
        <w:rPr>
          <w:rStyle w:val="CharStyle8"/>
        </w:rPr>
        <w:instrText> HYPERLINK "mailto:hss@sk-hss.ru" </w:instrText>
      </w:r>
      <w:r>
        <w:fldChar w:fldCharType="separate"/>
      </w:r>
      <w:r>
        <w:rPr>
          <w:rStyle w:val="Hyperlink"/>
          <w:b/>
          <w:bCs/>
        </w:rPr>
        <w:t>hss@sk-hss.ru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0" w:right="0" w:firstLine="0"/>
      </w:pPr>
      <w:bookmarkStart w:id="0" w:name="bookmark0"/>
      <w:r>
        <w:rPr>
          <w:rStyle w:val="CharStyle11"/>
          <w:b w:val="0"/>
          <w:bCs w:val="0"/>
          <w:i w:val="0"/>
          <w:iCs w:val="0"/>
        </w:rPr>
        <w:t xml:space="preserve">№ </w:t>
      </w:r>
      <w:r>
        <w:rPr>
          <w:rStyle w:val="CharStyle12"/>
          <w:b/>
          <w:bCs/>
          <w:i/>
          <w:iCs/>
        </w:rPr>
        <w:t>S0X3</w:t>
      </w:r>
      <w:r>
        <w:rPr>
          <w:rStyle w:val="CharStyle11"/>
          <w:lang w:val="en-US" w:eastAsia="en-US" w:bidi="en-US"/>
          <w:b w:val="0"/>
          <w:bCs w:val="0"/>
          <w:i w:val="0"/>
          <w:iCs w:val="0"/>
        </w:rPr>
        <w:t xml:space="preserve"> </w:t>
      </w:r>
      <w:r>
        <w:rPr>
          <w:rStyle w:val="CharStyle13"/>
          <w:vertAlign w:val="subscript"/>
          <w:b w:val="0"/>
          <w:bCs w:val="0"/>
          <w:i w:val="0"/>
          <w:iCs w:val="0"/>
        </w:rPr>
        <w:t>от</w:t>
      </w:r>
      <w:r>
        <w:rPr>
          <w:rStyle w:val="CharStyle11"/>
          <w:b w:val="0"/>
          <w:bCs w:val="0"/>
          <w:i w:val="0"/>
          <w:iCs w:val="0"/>
        </w:rPr>
        <w:t xml:space="preserve"> </w:t>
      </w:r>
      <w:r>
        <w:rPr>
          <w:rStyle w:val="CharStyle14"/>
          <w:b/>
          <w:bCs/>
          <w:i/>
          <w:iCs/>
        </w:rPr>
        <w:t xml:space="preserve">J&amp;.PJ. </w:t>
      </w:r>
      <w:r>
        <w:rPr>
          <w:rStyle w:val="CharStyle15"/>
          <w:b/>
          <w:bCs/>
          <w:i/>
          <w:iCs/>
        </w:rPr>
        <w:t>d&amp;dQ</w:t>
      </w:r>
      <w:bookmarkEnd w:id="0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75"/>
        <w:ind w:left="66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Пермскому краю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 ООО «СК «Химспецстрой»,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614800, Пермский край, г. Березники, Чуртанское шоссе, 15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3" w:line="266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Контактное лицо: Ваганова Елена Викторовна Номер контактного телефона: 8 922 64 34 014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Организация, осуществляющая размещение: Администрация г. Березники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Пл. Советская, д. 1, г. Березники, 618417 Ответственное должностное лицо: Кирьянова Наталья Владимировна Адрес электронной почты: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—! </w:t>
      </w:r>
      <w:r>
        <w:fldChar w:fldCharType="begin"/>
      </w:r>
      <w:r>
        <w:rPr>
          <w:color w:val="000000"/>
        </w:rPr>
        <w:instrText> HYPERLINK "mailto:kiryanova_a@berezniki.perm.ru"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kiryanova_a@berezniki.perm.ru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3" w:line="266" w:lineRule="exact"/>
        <w:ind w:left="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 Номер контактного телефона: 8-3424-26 28 80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Заказчик; Муниципальное казённое учреждение «Управление капитального строительства»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37" w:line="259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618400, Пермский край, г. Березники, ул. Карла Маркса, 37а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66" w:line="263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 АО «ЕЭТП» Извещение о проведении электронного аукциона № 0156300046620000241 ИКЗ 203591103928059110100100430010000414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6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46" w:left="1525" w:right="639" w:bottom="250" w:header="0" w:footer="3" w:gutter="0"/>
          <w:rtlGutter w:val="0"/>
          <w:cols w:num="2" w:space="720" w:equalWidth="0">
            <w:col w:w="4010" w:space="313"/>
            <w:col w:w="541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подачи заявок 24.07.2020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23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положения документации об электронном аукционе №0156300046620000241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соответствий с извещением о проведении электронного аукциона №0156300046620000241, объявлена закупка на Выполнение работ по объекту: строительство ул. Большевистская от ул. Мира до ул. 30 лет Победы, далее - Объект.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80" w:line="25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целью принять участие в закупке ООО «СК «Химспецстрой» изучило представленную на электронно-торговой площадке АО «ЕЭТП» </w:t>
      </w:r>
      <w:r>
        <w:rPr>
          <w:rStyle w:val="CharStyle19"/>
        </w:rPr>
        <w:t>htto ://roseltorg.ru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документацию об аукционе и выявило нарушения, допущенные организаторами закупки при определении начальной максимальной цены контракта (далее - НМД К), Заказчиком допущены нарушения правил описания объекта закупки.</w:t>
      </w:r>
    </w:p>
    <w:p>
      <w:pPr>
        <w:pStyle w:val="Style20"/>
        <w:numPr>
          <w:ilvl w:val="0"/>
          <w:numId w:val="1"/>
        </w:numPr>
        <w:tabs>
          <w:tab w:leader="none" w:pos="140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rStyle w:val="CharStyle22"/>
          <w:i w:val="0"/>
          <w:iCs w:val="0"/>
        </w:rPr>
        <w:t xml:space="preserve">В п.2.2 Технического задания указано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«Применяемые при выполнении работ дорожно-строительные материалы и изделия должны соответствовать требованиям Технического регламента Таможенного союза «Безопасность автомобильных дорог» (ТР ТС 014/2011), иметь маркировку единым знаком обращения продукции на рынке государств - членов Таможенного союза, и обеспечивать выполнение дорожно-строительных работ в соответствии проектной документацией»</w:t>
      </w:r>
      <w:r>
        <w:rPr>
          <w:rStyle w:val="CharStyle22"/>
          <w:i w:val="0"/>
          <w:iCs w:val="0"/>
        </w:rPr>
        <w:t xml:space="preserve"> в п.2.3 Технического задания указано: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«Дорожно-строительные материалы и изделия, поступающие для выполнения работ, подлежат входному контролю, в установленном законодательством государств - членов Таможенного союза порядке, путем проведения их испытаний на соответствие требованиям ТР ТС 014/2011 </w:t>
      </w:r>
      <w:r>
        <w:rPr>
          <w:rStyle w:val="CharStyle23"/>
          <w:i/>
          <w:iCs/>
        </w:rPr>
        <w:t>и проектной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  <w:i/>
          <w:iCs/>
        </w:rPr>
        <w:t>документации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(при наличии)».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п.5 статьи 1 ТР ТС 014/2011 технические требования настоящего технического регламента при проектировании (включая изыскания), строительстве, реконструкции, капитальном ремонте и эксплуатации также не распространяются на улццзд яаселеиньпг п</w:t>
      </w:r>
      <w:r>
        <w:rPr>
          <w:rStyle w:val="CharStyle19"/>
          <w:lang w:val="ru-RU" w:eastAsia="ru-RU" w:bidi="ru-RU"/>
        </w:rPr>
        <w:t>умегд»</w:t>
      </w:r>
    </w:p>
    <w:p>
      <w:pPr>
        <w:pStyle w:val="Style24"/>
        <w:tabs>
          <w:tab w:leader="none" w:pos="6548" w:val="left"/>
          <w:tab w:leader="none" w:pos="8002" w:val="center"/>
          <w:tab w:leader="none" w:pos="8639" w:val="right"/>
          <w:tab w:leader="none" w:pos="863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71"/>
        <w:ind w:left="6040" w:right="1320" w:firstLine="0"/>
      </w:pPr>
      <w:r>
        <w:rPr>
          <w:w w:val="100"/>
          <w:spacing w:val="0"/>
          <w:color w:val="000000"/>
          <w:position w:val="0"/>
        </w:rPr>
        <w:t xml:space="preserve">yrii'TiV*?ve </w:t>
      </w:r>
      <w:r>
        <w:rPr>
          <w:rStyle w:val="CharStyle26"/>
        </w:rPr>
        <w:t>Г'*</w:t>
      </w:r>
      <w:r>
        <w:rPr>
          <w:rStyle w:val="CharStyle26"/>
          <w:vertAlign w:val="superscript"/>
        </w:rPr>
        <w:t>1</w:t>
      </w:r>
      <w:r>
        <w:rPr>
          <w:rStyle w:val="CharStyle26"/>
        </w:rPr>
        <w:t>";.-</w:t>
      </w:r>
      <w:r>
        <w:rPr>
          <w:rStyle w:val="CharStyle26"/>
          <w:lang w:val="en-US" w:eastAsia="en-US" w:bidi="en-US"/>
        </w:rPr>
        <w:t xml:space="preserve">j </w:t>
      </w:r>
      <w:r>
        <w:rPr>
          <w:rStyle w:val="CharStyle27"/>
        </w:rPr>
        <w:t>;-i</w:t>
        <w:tab/>
        <w:t>;yyW)</w:t>
        <w:tab/>
        <w:t>’T.</w:t>
        <w:tab/>
        <w:t>/V;</w:t>
        <w:tab/>
        <w:t>f</w:t>
      </w:r>
    </w:p>
    <w:p>
      <w:pPr>
        <w:pStyle w:val="Style28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4700" w:right="0" w:firstLine="0"/>
      </w:pPr>
      <w:bookmarkStart w:id="1" w:name="bookmark1"/>
      <w:r>
        <w:rPr>
          <w:spacing w:val="0"/>
          <w:color w:val="000000"/>
          <w:position w:val="0"/>
        </w:rPr>
        <w:t>2 9. 0 7.2020 i’</w:t>
      </w:r>
      <w:r>
        <w:rPr>
          <w:vertAlign w:val="superscript"/>
          <w:spacing w:val="0"/>
          <w:color w:val="000000"/>
          <w:position w:val="0"/>
        </w:rPr>
        <w:t>v</w:t>
      </w:r>
      <w:r>
        <w:rPr>
          <w:spacing w:val="0"/>
          <w:color w:val="000000"/>
          <w:position w:val="0"/>
        </w:rPr>
        <w:t>‘°Oi3705</w:t>
      </w:r>
      <w:bookmarkEnd w:id="1"/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Проектная документация по объекту разработана без учёта соблюдения требований ТР ТС 014/2011, дорожно-строительные материалы, предусмотренные проектной документацией, не предусматривают соответствие требованиям ТР ТС 014/2011 (так, проектом в конструкции дорожной одежды предусмотрен щебень по ГОСТ 8297-93 и песок по ГОСТ 8736-2014, тогда как для обеспечения соответствия требованиям ТР ТС 014/2011 щебень должен выпускаться по ГОСТ 32703-2014, песок по ГОСТ 32824-2014 и т.д.).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20" w:right="20"/>
      </w:pPr>
      <w:r>
        <w:rPr>
          <w:rStyle w:val="CharStyle22"/>
          <w:i w:val="0"/>
          <w:iCs w:val="0"/>
        </w:rPr>
        <w:t xml:space="preserve">П. 2.1 Технического задания указано: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«Работы должны выполняться в соответствии с: нормативными документами, указанными в проектной документации (шифр 02/07/18)»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Т.е. п. 2.1,2.2,2.3 Технического задания предусмотрены взаимоисключающие требования об одновременном соответствии применяемых материалом требованиям проектной документации и требованиям ТР ТС 014/2011.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43" w:line="26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о необходимости применения материалов, соответствующих требованиям ТР ТС 014/2011, является необоснованным, так как действие данного технического регламента не распространяется на улицы в населённых пунктах, и противоречит проектной документации по объекту «Строительство ул. Большевистская от ул. Мира до ул.30 лет Победы».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письма МКУ «Служба благоустройства г. Березники» исх.№1530 от 24.12,2019г. утилизация излишков грунта при производстве работ по объекту необходимо предусмотреть на МКУП «Полигон твердых бытовых отходов города Березники». Тариф на утилизацию одной тонны фунта в данном письме указан 587,5 руб. с НДС. (стр. 154 тома 02/07/18- ПЗ). При этом в составе размещённых локальных сметных расчётов выложен расчёт №09-03 «Утилизация мусора», в данном расчёте тариф на утилизацию грунта принят 110,28 руб/т. В связи с этим начальная максимальная цена контракта занижена на 3 479 072,19 руб. (7290,29т*(5 87,50- 110,28)). Размер непредвиденных расходов меньше указанной суммы.</w:t>
      </w:r>
    </w:p>
    <w:p>
      <w:pPr>
        <w:pStyle w:val="Style16"/>
        <w:numPr>
          <w:ilvl w:val="0"/>
          <w:numId w:val="1"/>
        </w:numPr>
        <w:tabs>
          <w:tab w:leader="none" w:pos="134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информации, приведённой в проектной документации (Том 1 Пояснительная записка лист 28), в проектируемых фаницах установлены некапитальные Офаждения и металлические гаражи, являющиеся, согласно письма контрольного управления администрации города Березники без даты № 20-01-06/3108 и письма МКУ «Служба благоустройства г. Березники» №30 от 15,01.2020, самовольными постройками. Освобождение территории от самовольных построек предусмотрено в добровольном порядке собственниками строений до начала выполнения строительно-монтажных работ. Затраты на снос самовольных построек, изъятие земельных участков проектной документацией не предусмотрены.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4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вышеизложенного следует, что начало работ по объекту зависит от действий третьих лиц, не имеющих отношения к выполнению работ по закупке, выполнять работы по строительству объекта подрядчик сможет только после освобождения территории от самовольных построек.</w:t>
      </w:r>
    </w:p>
    <w:p>
      <w:pPr>
        <w:pStyle w:val="Style16"/>
        <w:numPr>
          <w:ilvl w:val="0"/>
          <w:numId w:val="1"/>
        </w:numPr>
        <w:tabs>
          <w:tab w:leader="none" w:pos="134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Техническими условиями АО «Газпром газораспределение Пермь» Березниковский филиал №1833 от 04,10.2018г. п. 14 указано: до выполнения работ по выносу участка газопровода и перекладке участка газопровода в футляре заключить с БФ АО «Газпром газораспределение Пермь» соглашение о компенсации расходов и убытков, связанных с изменением объектов газораспределения, являющихся собственностью АО «Газпром газораспределение Пермь».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22"/>
          <w:i w:val="0"/>
          <w:iCs w:val="0"/>
        </w:rPr>
        <w:t xml:space="preserve">В п.З п/п 6,7 Технических условий (стр. 3) указано, что проектом необходимо предусмотреть: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потери газа на технологические нужды в связи с работами, связанными с переврезкой нового участка газопровода;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стоимость работ по врезке газопровода и повторному пуску отключенных потребителей (расчёт запросить в БФ АО «Газпром газораспределение Пермь»).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Расчёт НМЦК включены строки 7 и 8 «Расчёт стоимости компенсации расходов, вызванных переустройством объекта газораспределения......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составе размещённых в единой информационной системе аукционной документации данные расчёты отсутствуют, отсутствуют также и локальные сметные расчёты по строительно-монтажным работам по переустройству объектов газораспределения.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Технических условиях АО «Газпром газораспределение Пермь» Березниковский филиал № 1833 от 04Л 0.2018г. п.15 указано о том, что проектируемый участок улицы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Большевистская расположен в зоне проектируемого распределительного газопровода, указано, что проект улицы необходимо согласовать на предмет совместимости технических решений с МКУ «УКС г. Березники». При этом в проектной документации данное согласование отсутствует, на сводных планах сетей проектируемый распределительный газопровод также не показан.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43" w:line="266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Учитывая, что сети газораспределения относятся к опасным производственным объектам, наличие на объекте неучтённого газопровода может оказать значительное влияние на ход выполнения работ.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Техническими условиями АО «Газпром газораспределение Пермь» Березниковский филиал №1833 от 04.10.2018г. п. 14 указано: до выполнения работ по выносу участка газопровода и перекладке участка газопровода в футляре заключить с БФ АО «Газпром газораспределение Пермь» соглашение о компенсации расходов и убытков, связанных с изменением объектов газораспределения, являющихся собственностью АО «Г азпром газораспределение Пермь». В расчёте НМЦК строки 7 и 8 включен «Расчёт стоимости компенсации расходов, вызванных переустройством объекта газораспределения....» являющийся приложением к указанному соглашению, в соответствии с которым Заказчиком в расчёт НМЦК включены данные расходы.</w:t>
      </w:r>
    </w:p>
    <w:p>
      <w:pPr>
        <w:pStyle w:val="Style16"/>
        <w:tabs>
          <w:tab w:leader="dot" w:pos="36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0" w:line="259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объекта закупки содержит указание на обязанность Подрядчика по заключению такого соглашения, а также включение расходов по названному соглашению в состав НМЦК, однако в состав аукционной документации проект соглашения с БФ АО «Газпром газораспределение Пермь» о компенсации расходов и убытков, связанных с изменением объектов газораспределения, являющихся собственностью АО «Газпром газораспределение Пермь» со всеми приложениями не включён. В связи с чем участник закупки не имеет возможности знакомиться с условиями данного соглашения и оценить принимаемые на себя обязательства и риски при подписании данного соглашения</w:t>
        <w:tab/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расчёте НМЦК строки 7 и 8 включен «Расчёт стоимости компенсации расходов, вызванных переустройством объекта газораспределения.,..», в обосновании по данным строкам указано «Приложение к соглашению».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Техническими условиями АО «Газпром газораспределение Пермь» Березниковский филиал №1833 от 04.10.2018г. п, 14 указано: до выполнения работ по выносу участка газопровода и перекладке участка газопровода в футляре заключить с БФ АО «Газпром газораспределение Пермь» соглашение о компенсации расходов и убытков, связанных с изменением объектов газораспределения, являющихся собственностью АО «Газпром газораспределение Пермь».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40" w:line="259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вышеизложенного следует что победитель аукциона будет обязан заключить с БФ АО «Газпром газораспределение Пермь» соглашение о компенсации расходов и убытков, данное соглашение не является договором субподряда между победителем аукциона и БФ АО «Газпром газораспределение Пермь» в связи с чем закрытие данных работ не может выполняться на основании форм КС-2, КС-3. В составе аукционной документации отсутствует указание о порядке оплаты Заказчиком данного компенсационного соглашения (- по факту заключения соглашения; - по факту его оплаты Подрядчиком или в другом порядке не указано).</w:t>
      </w:r>
    </w:p>
    <w:p>
      <w:pPr>
        <w:pStyle w:val="Style16"/>
        <w:numPr>
          <w:ilvl w:val="0"/>
          <w:numId w:val="1"/>
        </w:numPr>
        <w:tabs>
          <w:tab w:leader="none" w:pos="99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9" w:line="259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Сводным планом сетей (02/07/18-ППО.ГЧ лист 5.1, лист 5.2) на отдельных участках под проектируемой улицей расположены существующие сети водоснабжения. Так на участке ПК1+О0 - ПК1+20 право существующий ПНД водопровод Д25мм попадает под бортовой камень. На ПК4+27 проектируемую проезжую часть пересекает два водопровода из ПНД трубы Д25мм, Примыкание ул. Семинская на ПК4+23 пересекает два водопровода из ПНД трубы Д25мм. На ПК4+46 под острым углом проектируемую проезжую часть пересекает чугунный водовод Д150мм. На значительном протяжении тротуаров проходят существующие водопроводы из ПНД труб Д25мм. При этом в проектной документации не предусмотрены решения по переустройству или защите данных коммуникаций при строительстве улицы Большевистская.</w:t>
      </w:r>
    </w:p>
    <w:p>
      <w:pPr>
        <w:pStyle w:val="Style16"/>
        <w:numPr>
          <w:ilvl w:val="0"/>
          <w:numId w:val="1"/>
        </w:numPr>
        <w:tabs>
          <w:tab w:leader="none" w:pos="99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Строительство ул. Большевистская от ул. Мира до ул.ЗО лет Победы на участке от ПК0+00 до ПК4+23 предусмотрено в створе существующей улицы с грунтовым покрытием, строительство по новому направлению предусмотрено только на участке ПК4+23 - ПК6+53,45. Данный факт отражён в томе 5 ПОС лист 14.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участке ПКО+ОО - ПК4+23 проектируемая улица Большевистская проходит по существующей улице, по обеим сторонам улицы расположены частные домовладения, не имеющие альтернативных подъездов кроме как с данного участка улицы Большевистская. Соответственно организовать работы по строительству улицы на участке ПКО+ОО до ПК4+23 с полным закрытием движения транспорта на данном участке будет невозможно.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Технической частью сборника ФЕР27 приложение 27.3, п.3.1 предусмотрено применение коэффициента 1,2 к расценкам при производстве работ на одной половине проезжей части при систематическом движении транспорта на другой,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нарушение данного пункта ФЕР27 в локальных сметных расчётах не предусмотрено применение коэф.1.2 учитывающего условия производства работ для данного участка улицы.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34" w:line="25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указал как при оплате выполненных работ будут учитываться условия производства работ на участке ПКО+ОО до ПК4+23.</w:t>
      </w:r>
    </w:p>
    <w:p>
      <w:pPr>
        <w:pStyle w:val="Style16"/>
        <w:numPr>
          <w:ilvl w:val="0"/>
          <w:numId w:val="1"/>
        </w:numPr>
        <w:tabs>
          <w:tab w:leader="none" w:pos="138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Проектной документацией 02/07/18-ТКР.АД предусмотрена конструкция дорожной одежды с основанием из фракционированного щебня фр.40-70 уложенного по способу заклинки мелким щебнем.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СП 78.13330.2012п,10,8 табл.6 при устройстве основания из щебня фр. 40-70 методом заклинки следует применять две расклинивающие фракции: 10-20 и 5-10 с расходом 15 м3 на 1000м2 и 10 м3 на 1000м2 соответственно.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нарушение данного требования в проектной и в сметной документации предусмотрено применение только одной расклинивающей фракции 10-20 с расходом 15 м3 на 1000м2.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40" w:line="26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указал в счёт каких затрат будет компенсироваться применение второй расклинивающей фракции щебня при выполнении работ по устройству щебеночного основания.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обращался за разъяснением положений документации по аукциону в электронной форме, полученные разъяснения не содержат ответы на вопросы.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1 ч. 1 ст. 64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№ 44-ФЗ) установлено, что документация об электронном аукционе наряду с информацией, указанной в извещении о проведении такого аукциона, должна содержать, в том числе,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п.8 чЛ ст.ЗЗ Закона № 44-ФЗ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деятельности..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2 ст. 33 Закона № 44-ФЗ документация о закупке в соответствии с требованиями, указанными в части 1 статьи 33 названного закона, должна содержать показатели, позволяющие определить соответствие закупаемых товара, работы, услуги установленным Заказчиком требованиям,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ч.З ст.7 Закона № 44-ФЗ информация, предусмотренная настоящим Федеральным законом и размещённая в единой информационной системе, должна быть полной и достоверной.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Кроме того, законодательством однозначно указывается на необходимость размещения в составе аукционной документации проекта сметы контракта (ст. 110.2 Закона № 44-ФЗ, приказ Минстроя России от 23.12.2019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841/пр),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учетом изложенного описание объекта закупки в аукционной документации не позволяет определить соответствие закупаемых товара, работы, услуги требованиям установленным Заказчиком.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63" w:line="259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изложенное, руководствуясь статьей 99, 106 Закона № 44-ФЗ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60" w:line="230" w:lineRule="exact"/>
        <w:ind w:left="48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размещение заказа до рассмотрения настоящей жалобы по существу.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проверку по факту нарушения законодательства о контрактной системе, признать жалобу обоснованной.</w:t>
      </w:r>
      <w:r>
        <w:br w:type="page"/>
      </w:r>
    </w:p>
    <w:p>
      <w:pPr>
        <w:pStyle w:val="Style16"/>
        <w:numPr>
          <w:ilvl w:val="0"/>
          <w:numId w:val="3"/>
        </w:numPr>
        <w:tabs>
          <w:tab w:leader="none" w:pos="99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3" w:line="25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предписание об устранении нарушений в документации об аукционе - обязать заказчика, привести документацию о закупке в соответствие с требованиями действующего законодательства.</w:t>
      </w:r>
    </w:p>
    <w:p>
      <w:pPr>
        <w:pStyle w:val="Style16"/>
        <w:tabs>
          <w:tab w:leader="none" w:pos="645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98" w:line="252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Приложение: Копия выписки из протокола сбвета директоров №03/20 от 16.03.2020 о назначении генерального директора в 1 экз. </w:t>
      </w:r>
      <w:r>
        <w:rPr>
          <w:rStyle w:val="CharStyle30"/>
        </w:rPr>
        <w:t>/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/</w:t>
      </w:r>
    </w:p>
    <w:p>
      <w:pPr>
        <w:pStyle w:val="Style16"/>
        <w:framePr w:h="227" w:wrap="around" w:vAnchor="text" w:hAnchor="margin" w:x="8171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8"/>
          <w:spacing w:val="0"/>
        </w:rPr>
        <w:t>И. Б. Балуев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</w:t>
      </w:r>
    </w:p>
    <w:sectPr>
      <w:type w:val="continuous"/>
      <w:pgSz w:w="11906" w:h="16838"/>
      <w:pgMar w:top="881" w:left="689" w:right="689" w:bottom="431" w:header="0" w:footer="3" w:gutter="58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/>
      <w:bCs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  <w:spacing w:val="-5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2)"/>
    <w:basedOn w:val="CharStyle6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0">
    <w:name w:val="Заголовок №1 (2)_"/>
    <w:basedOn w:val="DefaultParagraphFont"/>
    <w:link w:val="Style9"/>
    <w:rPr>
      <w:lang w:val="en-US" w:eastAsia="en-US" w:bidi="en-US"/>
      <w:b/>
      <w:bCs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  <w:style w:type="character" w:customStyle="1" w:styleId="CharStyle11">
    <w:name w:val="Заголовок №1 (2) + Microsoft Sans Serif,11,5 pt,Не полужирный,Не курсив,Интервал 0 pt"/>
    <w:basedOn w:val="CharStyle10"/>
    <w:rPr>
      <w:lang w:val="ru-RU" w:eastAsia="ru-RU" w:bidi="ru-RU"/>
      <w:b/>
      <w:bCs/>
      <w:i/>
      <w:iCs/>
      <w:sz w:val="23"/>
      <w:szCs w:val="23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customStyle="1" w:styleId="CharStyle12">
    <w:name w:val="Заголовок №1 (2) + Интервал 1 pt"/>
    <w:basedOn w:val="CharStyle10"/>
    <w:rPr>
      <w:u w:val="single"/>
      <w:w w:val="100"/>
      <w:spacing w:val="20"/>
      <w:color w:val="000000"/>
      <w:position w:val="0"/>
    </w:rPr>
  </w:style>
  <w:style w:type="character" w:customStyle="1" w:styleId="CharStyle13">
    <w:name w:val="Заголовок №1 (2) + Не полужирный,Не курсив,Интервал 0 pt"/>
    <w:basedOn w:val="CharStyle10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4">
    <w:name w:val="Заголовок №1 (2)"/>
    <w:basedOn w:val="CharStyle10"/>
    <w:rPr>
      <w:u w:val="single"/>
      <w:w w:val="100"/>
      <w:color w:val="000000"/>
      <w:position w:val="0"/>
    </w:rPr>
  </w:style>
  <w:style w:type="character" w:customStyle="1" w:styleId="CharStyle15">
    <w:name w:val="Заголовок №1 (2) + Интервал -2 pt"/>
    <w:basedOn w:val="CharStyle10"/>
    <w:rPr>
      <w:u w:val="single"/>
      <w:w w:val="100"/>
      <w:spacing w:val="-4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3"/>
    </w:rPr>
  </w:style>
  <w:style w:type="character" w:customStyle="1" w:styleId="CharStyle19">
    <w:name w:val="Основной текст"/>
    <w:basedOn w:val="CharStyle1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20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 (4) + Не курсив"/>
    <w:basedOn w:val="CharStyle2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3">
    <w:name w:val="Основной текст (4)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(5)_"/>
    <w:basedOn w:val="DefaultParagraphFont"/>
    <w:link w:val="Style2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Corbel" w:eastAsia="Corbel" w:hAnsi="Corbel" w:cs="Corbel"/>
    </w:rPr>
  </w:style>
  <w:style w:type="character" w:customStyle="1" w:styleId="CharStyle26">
    <w:name w:val="Основной текст (5) + Интервал 9 pt"/>
    <w:basedOn w:val="CharStyle25"/>
    <w:rPr>
      <w:lang w:val="ru-RU" w:eastAsia="ru-RU" w:bidi="ru-RU"/>
      <w:w w:val="100"/>
      <w:spacing w:val="180"/>
      <w:color w:val="000000"/>
      <w:position w:val="0"/>
    </w:rPr>
  </w:style>
  <w:style w:type="character" w:customStyle="1" w:styleId="CharStyle27">
    <w:name w:val="Основной текст (5) + 4,5 pt,Интервал 1 pt"/>
    <w:basedOn w:val="CharStyle25"/>
    <w:rPr>
      <w:sz w:val="9"/>
      <w:szCs w:val="9"/>
      <w:w w:val="100"/>
      <w:spacing w:val="3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lang w:val="en-US" w:eastAsia="en-US" w:bidi="en-US"/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66"/>
    </w:rPr>
  </w:style>
  <w:style w:type="character" w:customStyle="1" w:styleId="CharStyle30">
    <w:name w:val="Основной текст + Курсив"/>
    <w:basedOn w:val="CharStyle17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  <w:spacing w:val="-5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60" w:line="22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Заголовок №1 (2)"/>
    <w:basedOn w:val="Normal"/>
    <w:link w:val="CharStyle10"/>
    <w:pPr>
      <w:widowControl w:val="0"/>
      <w:shd w:val="clear" w:color="auto" w:fill="FFFFFF"/>
      <w:outlineLvl w:val="0"/>
      <w:spacing w:before="6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0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jc w:val="both"/>
      <w:spacing w:before="180" w:line="259" w:lineRule="exact"/>
      <w:ind w:firstLine="68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after="180" w:line="14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Corbel" w:eastAsia="Corbel" w:hAnsi="Corbel" w:cs="Corbel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outlineLvl w:val="0"/>
      <w:spacing w:before="18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66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