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«НекстГен Фарма»</w:t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2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119333, г. Москва, ул. Губкина, д.З, этаж 1, пом.1 комн.9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72" w:left="5864" w:right="757" w:bottom="106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Тел: +7(495) 646-80-76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9"/>
        </w:rPr>
        <w:t>iakovshu lga@,genetico.ru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7" w:after="9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4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16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от ООО «НекстГен Фарма» (ИНН 7722464660 ОГРН: 1187746701977) вх. №1425-ж от 07.07.2020 на действия Заказчика — Бюджетное учреждение Ханты-Мансийского автономного округа-Югры «Мегионская городская больница», при проведении запроса котировок в электронной форме, предметом которого является поставка экспресс тестов (извещение № 0387200027820000146).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06.04.2011г. №63-Ф3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 не будет соответствовать требованиям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Вышеуказанное подтверждается письмом Министерства экономического развития РФ от 06.05.2014 №10073-ЕЕ/Д28.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10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11 статьи 105 Закона о контрактной системе установлено, что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от ООО «НекстГен Фарма» (ИНН 7722464660 ОГРН: 1187746701977) вх. №1425-ж от 07.07.2020 направлена в электронной форме и не подписана электронной подписью. -</w:t>
      </w:r>
    </w:p>
    <w:p>
      <w:pPr>
        <w:pStyle w:val="Style5"/>
        <w:tabs>
          <w:tab w:leader="none" w:pos="91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Ханты-Мансийское УФАС России в соответствии с частью 11 статьи 105 Закона о контрактной системе, возвращает жалобу ООО «Нексп</w:t>
        <w:tab/>
        <w:t>722464660</w:t>
      </w:r>
    </w:p>
    <w:p>
      <w:pPr>
        <w:pStyle w:val="Style5"/>
        <w:tabs>
          <w:tab w:leader="none" w:pos="91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ОГРН: 1187746701977) вх. №1425-ж от 07.07.2020 без рассмотрения га</w:t>
        <w:tab/>
        <w:t>ку данная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190" w:line="250" w:lineRule="exact"/>
        <w:ind w:left="0" w:right="0" w:firstLine="0"/>
        <w:sectPr>
          <w:type w:val="continuous"/>
          <w:pgSz w:w="11906" w:h="16838"/>
          <w:pgMar w:top="1172" w:left="781" w:right="911" w:bottom="106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направлена в электронной форме и не подписана электронной подш</w:t>
      </w: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h="120" w:wrap="around" w:hAnchor="margin" w:x="6067" w:y="1291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!/</w:t>
      </w:r>
    </w:p>
    <w:p>
      <w:pPr>
        <w:pStyle w:val="Style5"/>
        <w:framePr w:h="206" w:wrap="around" w:vAnchor="text" w:hAnchor="margin" w:x="8582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2"/>
          <w:lang w:val="en-US" w:eastAsia="en-US" w:bidi="en-US"/>
        </w:rPr>
        <w:t xml:space="preserve">P.P. </w:t>
      </w:r>
      <w:r>
        <w:rPr>
          <w:rStyle w:val="CharStyle12"/>
        </w:rPr>
        <w:t>Валиуллин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994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Врио заместителя руководителя Управления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 Бычков И.Т. 8(3467)388081 доб. 112</w:t>
      </w:r>
    </w:p>
    <w:sectPr>
      <w:type w:val="continuous"/>
      <w:pgSz w:w="11906" w:h="16838"/>
      <w:pgMar w:top="1172" w:left="819" w:right="6536" w:bottom="106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4) Exact"/>
    <w:basedOn w:val="DefaultParagraphFont"/>
    <w:link w:val="Style10"/>
    <w:rPr>
      <w:b w:val="0"/>
      <w:bCs w:val="0"/>
      <w:i/>
      <w:iCs/>
      <w:u w:val="none"/>
      <w:strike w:val="0"/>
      <w:smallCaps w:val="0"/>
      <w:sz w:val="12"/>
      <w:szCs w:val="12"/>
      <w:rFonts w:ascii="Palatino Linotype" w:eastAsia="Palatino Linotype" w:hAnsi="Palatino Linotype" w:cs="Palatino Linotype"/>
      <w:spacing w:val="-24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before="60" w:line="274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2"/>
      <w:szCs w:val="12"/>
      <w:rFonts w:ascii="Palatino Linotype" w:eastAsia="Palatino Linotype" w:hAnsi="Palatino Linotype" w:cs="Palatino Linotype"/>
      <w:spacing w:val="-24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1080" w:line="211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