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376" w:left="2612" w:right="8448" w:bottom="1448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3" w:after="1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2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1376" w:left="880" w:right="1733" w:bottom="1448" w:header="0" w:footer="3" w:gutter="0"/>
          <w:rtlGutter w:val="0"/>
          <w:cols w:num="2" w:space="717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«Гильдия современных проектов» 140000, Московская область, Люберецкий район, г.Люберцы, ул. Котельническая, </w:t>
      </w:r>
      <w:r>
        <w:rPr>
          <w:rStyle w:val="CharStyle9"/>
        </w:rPr>
        <w:t xml:space="preserve">Д.25А,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стр. литера В, офис </w:t>
      </w:r>
      <w:r>
        <w:rPr>
          <w:rStyle w:val="CharStyle9"/>
        </w:rPr>
        <w:t xml:space="preserve">№2 </w:t>
      </w:r>
      <w:r>
        <w:fldChar w:fldCharType="begin"/>
      </w:r>
      <w:r>
        <w:rPr>
          <w:color w:val="000000"/>
        </w:rPr>
        <w:instrText> HYPERLINK "mailto:info@guildsp.ru"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info@guildsp.ru</w:t>
      </w:r>
      <w:r>
        <w:fldChar w:fldCharType="end"/>
      </w:r>
    </w:p>
    <w:p>
      <w:pPr>
        <w:widowControl w:val="0"/>
        <w:spacing w:before="21" w:after="2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23" w:line="234" w:lineRule="exact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7" w:line="180" w:lineRule="exact"/>
        <w:ind w:left="1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08.07.2020 № </w:t>
      </w:r>
      <w:r>
        <w:rPr>
          <w:lang w:val="en-US" w:eastAsia="en-US" w:bidi="en-US"/>
          <w:w w:val="100"/>
          <w:spacing w:val="0"/>
          <w:color w:val="000000"/>
          <w:position w:val="0"/>
        </w:rPr>
        <w:t>04-03-J</w:t>
      </w:r>
    </w:p>
    <w:p>
      <w:pPr>
        <w:pStyle w:val="Style7"/>
        <w:framePr w:h="170" w:vSpace="22" w:wrap="around" w:vAnchor="text" w:hAnchor="margin" w:x="2419" w:y="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10"/>
          <w:spacing w:val="0"/>
        </w:rPr>
        <w:t>от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429" w:line="1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04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отказе в рассмотрении жалобы №075/06/67-411/2020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Рассмотрев жалобу ООО «Гильдия современных проектов» (вх. от 08.07.2020)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МУНИЦИПАЛЬНОЕ КАЗЕННОЕ УЧРЕЖДЕНИЕ ГОРОДСКОГО ОКРУГА "ГОРОД ЧИТА" "ГОРОДСКИЕ ДОРОГИ" при проведении закупки </w:t>
      </w:r>
      <w:r>
        <w:rPr>
          <w:rStyle w:val="CharStyle13"/>
        </w:rPr>
        <w:t>0891600001920000025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Управление Федеральной антимонопольной службы по Забайкальскому краю сообщает: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частью 4 статьи 105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в порядке, установленном настоящей главой. 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 При этом в случае, если обжалуемые действия (бездействие) совершены после начала рассмотрения заявок на участие в электронной процедуре, закрытой электронной процедуре, </w:t>
      </w:r>
      <w:r>
        <w:rPr>
          <w:rStyle w:val="CharStyle14"/>
        </w:rPr>
        <w:t xml:space="preserve">обжалование данных действий (бездействия) может осуществляться только участником закупки, подавшим заявку на участие в электронной процедуре,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закрытой электронной процедуре.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на действие членов аукционной комиссии должна содержать указание на номер заявки лица, подавшего жалобу и являющегося участником закупки.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  <w:sectPr>
          <w:type w:val="continuous"/>
          <w:pgSz w:w="11906" w:h="16838"/>
          <w:pgMar w:top="1376" w:left="927" w:right="884" w:bottom="144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11 статьи 105 Закона о контрактной системе, жалоба не может быть рассмотрена и возвращается участнику закупки.</w:t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framePr w:h="216" w:wrap="around" w:vAnchor="text" w:hAnchor="margin" w:x="7963" w:y="25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5"/>
          <w:spacing w:val="0"/>
        </w:rPr>
        <w:t>А.В. Горбунова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0" w:right="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Врио руководителя Забайкальского У ФАС России</w:t>
      </w:r>
    </w:p>
    <w:sectPr>
      <w:type w:val="continuous"/>
      <w:pgSz w:w="11906" w:h="16838"/>
      <w:pgMar w:top="1376" w:left="927" w:right="7526" w:bottom="144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9">
    <w:name w:val="Основной текст (4)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4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3">
    <w:name w:val="Основной текст"/>
    <w:basedOn w:val="CharStyle1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+ Полужирный"/>
    <w:basedOn w:val="CharStyle12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300" w:line="299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30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line="23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jc w:val="both"/>
      <w:spacing w:before="480" w:after="3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