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" w:after="6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«СтройПромКонтинент» Ворончихину А.Г.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69" w:left="1541" w:right="1767" w:bottom="298" w:header="0" w:footer="3" w:gutter="0"/>
          <w:rtlGutter w:val="0"/>
          <w:cols w:num="2" w:space="720" w:equalWidth="0">
            <w:col w:w="3624" w:space="1800"/>
            <w:col w:w="317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630005, г. Новосибирск, ул. Писарева,121, офис 403 Телефон: (383)224-27-62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"mailto:spk4@mail.ru"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spk4@mail.ru</w:t>
      </w:r>
      <w:r>
        <w:fldChar w:fldCharType="end"/>
      </w:r>
    </w:p>
    <w:p>
      <w:pPr>
        <w:widowControl w:val="0"/>
        <w:spacing w:line="53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80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"http://www.novosibirslc.fas.gov.ru"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http://www.novosibirslc.fas.gov.ru</w:t>
      </w:r>
      <w:r>
        <w:fldChar w:fldCharType="end"/>
      </w:r>
    </w:p>
    <w:p>
      <w:pPr>
        <w:pStyle w:val="Style9"/>
        <w:framePr w:h="160" w:wrap="around" w:vAnchor="text" w:hAnchor="margin" w:x="2203" w:y="1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735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73" w:line="23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 12485э от 09.07.2020) на действия аукционной комиссии заказчика и уполномоченного органа при проведении электронного аукциона на выполнение работ по генеральному проектированию объекта «Реконструкция Каргатской ЦРБ. Новый хирургический корпус» (извещение № 0151200006020000126), установило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 действующего законодательства о контрактной системе было установлено, что жалоба, поданная посредством электронной почты, не соответствует требованиям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 1 ст. 6 Федерального закона от 06.04.2011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ч. 10 ст. 105 Закона о контрактной системе жалоба подписывается подающим ее лицом или его представителем. 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Новосибирским УФАС России установлено, что поданная вами жалоба не подписана квалифицированной электронной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" w:right="20" w:firstLine="720"/>
        <w:sectPr>
          <w:type w:val="continuous"/>
          <w:pgSz w:w="11906" w:h="16838"/>
          <w:pgMar w:top="269" w:left="903" w:right="903" w:bottom="2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вышеизложенным, Новосибирским УФАС России принято решение о возвращении Вам жалобы в соответствии с п. 2 ч. 11 ст. 105 Закона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0" w:wrap="around" w:hAnchor="margin" w:x="8548" w:y="1442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2"/>
        </w:rPr>
        <w:t>А.Г. Швалов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269" w:left="989" w:right="7431" w:bottom="2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306" w:wrap="around" w:hAnchor="margin" w:x="7670" w:y="15642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lang w:val="ru-RU" w:eastAsia="ru-RU" w:bidi="ru-RU"/>
          <w:w w:val="100"/>
          <w:spacing w:val="40"/>
          <w:color w:val="000000"/>
          <w:position w:val="0"/>
        </w:rPr>
        <w:t>211078</w:t>
      </w:r>
      <w:r>
        <w:rPr>
          <w:rStyle w:val="CharStyle15"/>
          <w:b/>
          <w:bCs/>
        </w:rPr>
        <w:t xml:space="preserve"> ^</w:t>
      </w:r>
    </w:p>
    <w:p>
      <w:pPr>
        <w:pStyle w:val="Style16"/>
        <w:framePr w:h="260" w:wrap="around" w:vAnchor="text" w:hAnchor="margin" w:x="7123" w:y="-10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Алышова Анастасия Евгеньевна тел. (383) 231-01-85 отдел контроля закупок</w:t>
      </w:r>
    </w:p>
    <w:sectPr>
      <w:type w:val="continuous"/>
      <w:pgSz w:w="11906" w:h="16838"/>
      <w:pgMar w:top="269" w:left="989" w:right="8141" w:bottom="29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character" w:customStyle="1" w:styleId="CharStyle11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(5) Exact"/>
    <w:basedOn w:val="DefaultParagraphFont"/>
    <w:link w:val="Style1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6"/>
    </w:rPr>
  </w:style>
  <w:style w:type="character" w:customStyle="1" w:styleId="CharStyle15">
    <w:name w:val="Основной текст (5) + Интервал 0 pt Exact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6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1"/>
    <w:pPr>
      <w:widowControl w:val="0"/>
      <w:shd w:val="clear" w:color="auto" w:fill="FFFFFF"/>
      <w:jc w:val="center"/>
      <w:spacing w:after="78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6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