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623" w:left="5312" w:right="10410" w:bottom="401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0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9" w:wrap="around" w:vAnchor="text" w:hAnchor="margin" w:x="9494" w:y="112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4"/>
          <w:spacing w:val="0"/>
        </w:rPr>
        <w:t>ирск,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7"/>
          <w:b/>
          <w:bCs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0"/>
      </w:pPr>
      <w:r>
        <w:rPr>
          <w:rStyle w:val="CharStyle7"/>
          <w:b/>
          <w:bCs/>
        </w:rPr>
        <w:t>УПРАВЛЕНИЕ Федеральной антимонопольной службы по Калужской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0"/>
        </w:rPr>
        <w:t xml:space="preserve">пл. Старый Торг, 5, Калуга, 248000 тел. (4842) 57-65-92, факс (4828) 57-65-92 </w:t>
      </w:r>
      <w:r>
        <w:rPr>
          <w:rStyle w:val="CharStyle10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to40@fas.gov.ru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5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«Новострой»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type w:val="continuous"/>
          <w:pgSz w:w="16838" w:h="23810"/>
          <w:pgMar w:top="3608" w:left="3599" w:right="3761" w:bottom="3997" w:header="0" w:footer="3" w:gutter="0"/>
          <w:rtlGutter w:val="0"/>
          <w:cols w:num="2" w:space="75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1-й Бийский пер., дом №12, г.Новоси Новосибирская обл., 630120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190" w:wrap="around" w:vAnchor="text" w:hAnchor="margin" w:x="2275" w:y="1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776" w:line="210" w:lineRule="exact"/>
        <w:ind w:left="20" w:right="0" w:firstLine="0"/>
      </w:pPr>
      <w:r>
        <w:rPr>
          <w:rStyle w:val="CharStyle28"/>
        </w:rPr>
        <w:t>На №</w:t>
      </w:r>
    </w:p>
    <w:p>
      <w:pPr>
        <w:pStyle w:val="Style17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ои»</w:t>
      </w:r>
    </w:p>
    <w:p>
      <w:pPr>
        <w:pStyle w:val="Style3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0" w:line="295" w:lineRule="exact"/>
        <w:ind w:left="0" w:right="0" w:firstLine="0"/>
      </w:pPr>
      <w:r>
        <w:rPr>
          <w:rStyle w:val="CharStyle4"/>
          <w:spacing w:val="0"/>
        </w:rPr>
        <w:t>ния</w:t>
      </w:r>
    </w:p>
    <w:p>
      <w:pPr>
        <w:pStyle w:val="Style3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0" w:line="295" w:lineRule="exact"/>
        <w:ind w:left="0" w:right="0" w:firstLine="0"/>
      </w:pPr>
      <w:r>
        <w:rPr>
          <w:rStyle w:val="CharStyle4"/>
          <w:spacing w:val="0"/>
        </w:rPr>
        <w:t>ние</w:t>
      </w:r>
    </w:p>
    <w:p>
      <w:pPr>
        <w:pStyle w:val="Style8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240" w:line="295" w:lineRule="exact"/>
        <w:ind w:left="0" w:right="0" w:firstLine="0"/>
      </w:pPr>
      <w:r>
        <w:rPr>
          <w:rStyle w:val="CharStyle19"/>
          <w:spacing w:val="0"/>
        </w:rPr>
        <w:t>1МИ</w:t>
      </w:r>
    </w:p>
    <w:p>
      <w:pPr>
        <w:pStyle w:val="Style3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100" w:right="0" w:firstLine="80"/>
      </w:pPr>
      <w:r>
        <w:rPr>
          <w:rStyle w:val="CharStyle4"/>
          <w:spacing w:val="0"/>
        </w:rPr>
        <w:t xml:space="preserve">ной х и вия оне, </w:t>
      </w:r>
      <w:r>
        <w:rPr>
          <w:rStyle w:val="CharStyle20"/>
          <w:spacing w:val="0"/>
        </w:rPr>
        <w:t xml:space="preserve">ько </w:t>
      </w:r>
      <w:r>
        <w:rPr>
          <w:rStyle w:val="CharStyle4"/>
          <w:spacing w:val="0"/>
        </w:rPr>
        <w:t xml:space="preserve">ели к на </w:t>
      </w:r>
      <w:r>
        <w:rPr>
          <w:rStyle w:val="CharStyle20"/>
          <w:spacing w:val="0"/>
        </w:rPr>
        <w:t>ных</w:t>
      </w:r>
    </w:p>
    <w:p>
      <w:pPr>
        <w:pStyle w:val="Style21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НИИ</w:t>
      </w:r>
    </w:p>
    <w:p>
      <w:pPr>
        <w:pStyle w:val="Style5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0" w:line="295" w:lineRule="exact"/>
        <w:ind w:left="0" w:right="0" w:firstLine="0"/>
      </w:pPr>
      <w:r>
        <w:rPr>
          <w:rStyle w:val="CharStyle23"/>
          <w:b/>
          <w:bCs/>
          <w:spacing w:val="0"/>
        </w:rPr>
        <w:t>ка,</w:t>
      </w:r>
    </w:p>
    <w:p>
      <w:pPr>
        <w:pStyle w:val="Style5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0" w:line="295" w:lineRule="exact"/>
        <w:ind w:left="0" w:right="0" w:firstLine="0"/>
      </w:pPr>
      <w:r>
        <w:rPr>
          <w:rStyle w:val="CharStyle23"/>
          <w:b/>
          <w:bCs/>
          <w:spacing w:val="0"/>
        </w:rPr>
        <w:t>ной</w:t>
      </w:r>
    </w:p>
    <w:p>
      <w:pPr>
        <w:pStyle w:val="Style5"/>
        <w:framePr w:w="567" w:h="5054" w:wrap="around" w:vAnchor="text" w:hAnchor="margin" w:x="9579" w:y="-34"/>
        <w:widowControl w:val="0"/>
        <w:keepNext w:val="0"/>
        <w:keepLines w:val="0"/>
        <w:shd w:val="clear" w:color="auto" w:fill="auto"/>
        <w:bidi w:val="0"/>
        <w:jc w:val="right"/>
        <w:spacing w:before="0" w:after="0" w:line="295" w:lineRule="exact"/>
        <w:ind w:left="0" w:right="0" w:firstLine="0"/>
      </w:pPr>
      <w:r>
        <w:rPr>
          <w:rStyle w:val="CharStyle23"/>
          <w:b/>
          <w:bCs/>
          <w:spacing w:val="0"/>
        </w:rPr>
        <w:t>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13.07.2020г. в адрес Калужского УФАС России поступила жалоба </w:t>
      </w:r>
      <w:r>
        <w:rPr>
          <w:rStyle w:val="CharStyle29"/>
        </w:rPr>
        <w:t xml:space="preserve">ООО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«Новостр на действия комиссии при проведении аукциона в электронной форме (номер извеще на официальном сайте 0137200001220003096), предметом которого является выполне работ на объекте: «Строительство канализационно-насосной станции с двумя напорнь коллекторами в районе ул. Пирогова».</w:t>
      </w:r>
    </w:p>
    <w:p>
      <w:pPr>
        <w:pStyle w:val="Style5"/>
        <w:framePr w:h="230" w:vSpace="57" w:wrap="around" w:vAnchor="text" w:hAnchor="margin" w:x="9671" w:y="269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3"/>
          <w:b/>
          <w:bCs/>
          <w:spacing w:val="0"/>
        </w:rPr>
        <w:t>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580"/>
      </w:pPr>
      <w:r>
        <w:rPr>
          <w:rStyle w:val="CharStyle30"/>
          <w:b w:val="0"/>
          <w:bCs w:val="0"/>
        </w:rPr>
        <w:t xml:space="preserve">Частью 4 статьи 105 Федерального закона от 05.04.2013 № 44-ФЗ </w:t>
      </w:r>
      <w:r>
        <w:rPr>
          <w:rStyle w:val="CharStyle31"/>
          <w:b w:val="0"/>
          <w:bCs w:val="0"/>
        </w:rPr>
        <w:t xml:space="preserve">«О </w:t>
      </w:r>
      <w:r>
        <w:rPr>
          <w:rStyle w:val="CharStyle30"/>
          <w:b w:val="0"/>
          <w:bCs w:val="0"/>
        </w:rPr>
        <w:t xml:space="preserve">контракт системе в сфере закупок товаров, работ, услуг для обеспечения государственны муниципальных нужд» установлено, что в случае, если обжалуемые дейст (бездействие) совершены после начала рассмотрения заявок на участие в таком аукци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обжалование данных действий (бездействия) может осуществляться тол участником закупки, подавшим заявку на участие в таком аукционе. </w:t>
      </w:r>
      <w:r>
        <w:rPr>
          <w:rStyle w:val="CharStyle30"/>
          <w:b w:val="0"/>
          <w:bCs w:val="0"/>
        </w:rPr>
        <w:t xml:space="preserve">В случае, обжалуемые действия (бездействие) совершены при рассмотрении вторых частей заяво участие в электронном аукционе или при заключении контракта,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обжалование дан действий (бездействия) осуществляется до заключения контракта. По истече указанных сроков обжалование данных действий (бездействия) заказч уполномоченного органа, уполномоченного учреждения, специализирован организации, оператора электронной площадки, аукционной комис осуществляется только </w:t>
      </w:r>
      <w:r>
        <w:rPr>
          <w:rStyle w:val="CharStyle30"/>
          <w:b w:val="0"/>
          <w:bCs w:val="0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судебном порядке.</w:t>
      </w:r>
    </w:p>
    <w:p>
      <w:pPr>
        <w:pStyle w:val="Style3"/>
        <w:framePr w:h="230" w:vSpace="87" w:wrap="around" w:vAnchor="text" w:hAnchor="margin" w:x="9649" w:y="-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4"/>
          <w:spacing w:val="0"/>
        </w:rPr>
        <w:t>ан</w:t>
      </w:r>
    </w:p>
    <w:p>
      <w:pPr>
        <w:pStyle w:val="Style3"/>
        <w:framePr w:w="349" w:h="867" w:wrap="around" w:vAnchor="text" w:hAnchor="margin" w:x="9800" w:y="-67"/>
        <w:widowControl w:val="0"/>
        <w:keepNext w:val="0"/>
        <w:keepLines w:val="0"/>
        <w:shd w:val="clear" w:color="auto" w:fill="auto"/>
        <w:bidi w:val="0"/>
        <w:jc w:val="right"/>
        <w:spacing w:before="0" w:after="0" w:line="288" w:lineRule="exact"/>
        <w:ind w:left="0" w:right="0" w:firstLine="0"/>
      </w:pPr>
      <w:r>
        <w:rPr>
          <w:rStyle w:val="CharStyle4"/>
          <w:spacing w:val="0"/>
        </w:rPr>
        <w:t>ия ого в</w:t>
      </w:r>
    </w:p>
    <w:p>
      <w:pPr>
        <w:pStyle w:val="Style11"/>
        <w:framePr w:h="230" w:vSpace="94" w:wrap="around" w:vAnchor="text" w:hAnchor="margin" w:x="9539" w:y="117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</w:pPr>
      <w:r>
        <w:rPr>
          <w:rStyle w:val="CharStyle24"/>
          <w:spacing w:val="0"/>
        </w:rPr>
        <w:t>б&gt;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Так, извещением № 0137200001220003096 установлены дата и время оконч подачи заявок, а именно: 08.07.2020 08:00, протокол подведения итогов электрону аукциона размещен 10.07.2020г., однако, жалоба </w:t>
      </w:r>
      <w:r>
        <w:rPr>
          <w:rStyle w:val="CharStyle29"/>
        </w:rPr>
        <w:t xml:space="preserve">ООО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«Новострой» поступил Калужское УФАС России 13.07.2020г.</w:t>
      </w:r>
    </w:p>
    <w:p>
      <w:pPr>
        <w:pStyle w:val="Style8"/>
        <w:framePr w:w="480" w:h="1356" w:wrap="around" w:vAnchor="text" w:hAnchor="margin" w:x="9673" w:y="48"/>
        <w:widowControl w:val="0"/>
        <w:keepNext w:val="0"/>
        <w:keepLines w:val="0"/>
        <w:shd w:val="clear" w:color="auto" w:fill="auto"/>
        <w:bidi w:val="0"/>
        <w:jc w:val="left"/>
        <w:spacing w:before="0" w:after="28" w:line="150" w:lineRule="exact"/>
        <w:ind w:left="120" w:right="0" w:firstLine="0"/>
      </w:pPr>
      <w:r>
        <w:rPr>
          <w:rStyle w:val="CharStyle19"/>
          <w:spacing w:val="0"/>
        </w:rPr>
        <w:t>1ЛО</w:t>
      </w:r>
    </w:p>
    <w:p>
      <w:pPr>
        <w:pStyle w:val="Style3"/>
        <w:framePr w:w="480" w:h="1356" w:wrap="around" w:vAnchor="text" w:hAnchor="margin" w:x="9673" w:y="48"/>
        <w:widowControl w:val="0"/>
        <w:keepNext w:val="0"/>
        <w:keepLines w:val="0"/>
        <w:shd w:val="clear" w:color="auto" w:fill="auto"/>
        <w:bidi w:val="0"/>
        <w:jc w:val="left"/>
        <w:spacing w:before="0" w:after="306" w:line="230" w:lineRule="exact"/>
        <w:ind w:left="120" w:right="0" w:firstLine="0"/>
      </w:pPr>
      <w:r>
        <w:rPr>
          <w:rStyle w:val="CharStyle4"/>
          <w:spacing w:val="0"/>
        </w:rPr>
        <w:t>ого</w:t>
      </w:r>
    </w:p>
    <w:p>
      <w:pPr>
        <w:pStyle w:val="Style3"/>
        <w:framePr w:w="480" w:h="1356" w:wrap="around" w:vAnchor="text" w:hAnchor="margin" w:x="9673" w:y="48"/>
        <w:widowControl w:val="0"/>
        <w:keepNext w:val="0"/>
        <w:keepLines w:val="0"/>
        <w:shd w:val="clear" w:color="auto" w:fill="auto"/>
        <w:bidi w:val="0"/>
        <w:jc w:val="left"/>
        <w:spacing w:before="0" w:after="5" w:line="230" w:lineRule="exact"/>
        <w:ind w:left="120" w:right="0" w:firstLine="0"/>
      </w:pPr>
      <w:r>
        <w:rPr>
          <w:rStyle w:val="CharStyle4"/>
          <w:spacing w:val="0"/>
        </w:rPr>
        <w:t>-ФЗ</w:t>
      </w:r>
    </w:p>
    <w:p>
      <w:pPr>
        <w:pStyle w:val="Style3"/>
        <w:framePr w:w="480" w:h="1356" w:wrap="around" w:vAnchor="text" w:hAnchor="margin" w:x="9673" w:y="4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4"/>
          <w:spacing w:val="0"/>
        </w:rPr>
        <w:t>ели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ходе предварительного рассмотрения жалобы, Калужским УФАС России установлено, что </w:t>
      </w:r>
      <w:r>
        <w:rPr>
          <w:rStyle w:val="CharStyle29"/>
        </w:rPr>
        <w:t xml:space="preserve">ООО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«Новострой» не являлось участником вышеуказанн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72" w:line="295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Пунктом 3 </w:t>
      </w:r>
      <w:r>
        <w:rPr>
          <w:rStyle w:val="CharStyle32"/>
        </w:rPr>
        <w:t>частиИ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статьи 105 Федерального закона от 05.04.2013 № 4^ установлено, что жалоба возвращается подавшему ее лицу без рассмотрения в случае, жалоба подана по истечении срока, предусмотренного настоящей статьей.</w:t>
      </w:r>
    </w:p>
    <w:p>
      <w:pPr>
        <w:pStyle w:val="Style33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82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096274</w:t>
      </w:r>
      <w:bookmarkEnd w:id="0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60" w:right="2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положением части 4, статьи 105 Федерального закона от 05.04.2013 № 44-ФЗ Калужское УФАС России решило возвратить жалобу ООО «Новострой» (от 13.07.2020г.).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96" w:line="310" w:lineRule="exact"/>
        <w:ind w:left="60" w:right="2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25"/>
        <w:framePr w:h="110" w:wrap="notBeside" w:vAnchor="text" w:hAnchor="margin" w:x="6775" w:y="542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.1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992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УФАС России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60" w:right="0" w:firstLine="0"/>
      </w:pPr>
      <w:r>
        <w:rPr>
          <w:rStyle w:val="CharStyle37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4842</w:t>
      </w:r>
      <w:r>
        <w:rPr>
          <w:rStyle w:val="CharStyle37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57</w:t>
      </w:r>
      <w:r>
        <w:rPr>
          <w:rStyle w:val="CharStyle37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48-50</w:t>
      </w:r>
    </w:p>
    <w:sectPr>
      <w:type w:val="continuous"/>
      <w:pgSz w:w="16838" w:h="23810"/>
      <w:pgMar w:top="4371" w:left="3234" w:right="3094" w:bottom="409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1"/>
    </w:rPr>
  </w:style>
  <w:style w:type="character" w:customStyle="1" w:styleId="CharStyle16">
    <w:name w:val="Основной текст (5) Exact"/>
    <w:basedOn w:val="CharStyle27"/>
    <w:rPr>
      <w:sz w:val="19"/>
      <w:szCs w:val="19"/>
      <w:spacing w:val="-1"/>
    </w:rPr>
  </w:style>
  <w:style w:type="character" w:customStyle="1" w:styleId="CharStyle18">
    <w:name w:val="Основной текст (6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3"/>
    </w:rPr>
  </w:style>
  <w:style w:type="character" w:customStyle="1" w:styleId="CharStyle1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20">
    <w:name w:val="Основной текст + Полужирный Exact"/>
    <w:basedOn w:val="CharStyle13"/>
    <w:rPr>
      <w:lang w:val="ru-RU" w:eastAsia="ru-RU" w:bidi="ru-RU"/>
      <w:b/>
      <w:bCs/>
      <w:sz w:val="23"/>
      <w:szCs w:val="23"/>
      <w:w w:val="100"/>
      <w:spacing w:val="6"/>
      <w:color w:val="000000"/>
      <w:position w:val="0"/>
    </w:rPr>
  </w:style>
  <w:style w:type="character" w:customStyle="1" w:styleId="CharStyle22">
    <w:name w:val="Основной текст (7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1"/>
    </w:rPr>
  </w:style>
  <w:style w:type="character" w:customStyle="1" w:styleId="CharStyle23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2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8"/>
    </w:rPr>
  </w:style>
  <w:style w:type="character" w:customStyle="1" w:styleId="CharStyle26">
    <w:name w:val="Основной текст (9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1"/>
      <w:szCs w:val="11"/>
      <w:rFonts w:ascii="Trebuchet MS" w:eastAsia="Trebuchet MS" w:hAnsi="Trebuchet MS" w:cs="Trebuchet MS"/>
      <w:spacing w:val="-21"/>
    </w:rPr>
  </w:style>
  <w:style w:type="character" w:customStyle="1" w:styleId="CharStyle27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8">
    <w:name w:val="Основной текст (5)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2) + Не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(2) + Не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+ Интервал 2 pt"/>
    <w:basedOn w:val="CharStyle13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34">
    <w:name w:val="Заголовок №1_"/>
    <w:basedOn w:val="DefaultParagraphFont"/>
    <w:link w:val="Style33"/>
    <w:rPr>
      <w:b/>
      <w:bCs/>
      <w:i w:val="0"/>
      <w:iCs w:val="0"/>
      <w:u w:val="none"/>
      <w:strike w:val="0"/>
      <w:smallCaps w:val="0"/>
      <w:sz w:val="28"/>
      <w:szCs w:val="28"/>
      <w:rFonts w:ascii="Trebuchet MS" w:eastAsia="Trebuchet MS" w:hAnsi="Trebuchet MS" w:cs="Trebuchet MS"/>
    </w:rPr>
  </w:style>
  <w:style w:type="character" w:customStyle="1" w:styleId="CharStyle36">
    <w:name w:val="Основной текст (8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7">
    <w:name w:val="Основной текст (8) + Trebuchet MS,7 pt"/>
    <w:basedOn w:val="CharStyle36"/>
    <w:rPr>
      <w:lang w:val="ru-RU" w:eastAsia="ru-RU" w:bidi="ru-RU"/>
      <w:sz w:val="14"/>
      <w:szCs w:val="14"/>
      <w:rFonts w:ascii="Trebuchet MS" w:eastAsia="Trebuchet MS" w:hAnsi="Trebuchet MS" w:cs="Trebuchet MS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3"/>
    <w:pPr>
      <w:widowControl w:val="0"/>
      <w:shd w:val="clear" w:color="auto" w:fill="FFFFFF"/>
      <w:jc w:val="both"/>
      <w:spacing w:before="360"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7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27"/>
    <w:pPr>
      <w:widowControl w:val="0"/>
      <w:shd w:val="clear" w:color="auto" w:fill="FFFFFF"/>
      <w:spacing w:after="18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jc w:val="right"/>
      <w:spacing w:line="29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3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right"/>
      <w:spacing w:line="29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1"/>
    </w:rPr>
  </w:style>
  <w:style w:type="paragraph" w:customStyle="1" w:styleId="Style25">
    <w:name w:val="Основной текст (9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rebuchet MS" w:eastAsia="Trebuchet MS" w:hAnsi="Trebuchet MS" w:cs="Trebuchet MS"/>
      <w:spacing w:val="-21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FFFFFF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rebuchet MS" w:eastAsia="Trebuchet MS" w:hAnsi="Trebuchet MS" w:cs="Trebuchet MS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spacing w:before="504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