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tabs>
          <w:tab w:leader="none" w:pos="4769" w:val="center"/>
        </w:tabs>
        <w:widowControl w:val="0"/>
        <w:keepNext w:val="0"/>
        <w:keepLines w:val="0"/>
        <w:shd w:val="clear" w:color="auto" w:fill="auto"/>
        <w:bidi w:val="0"/>
        <w:spacing w:before="0" w:after="0" w:line="260" w:lineRule="exact"/>
        <w:ind w:left="1380" w:right="0" w:firstLine="0"/>
      </w:pPr>
      <w:r>
        <w:rPr>
          <w:lang w:val="ru-RU" w:eastAsia="ru-RU" w:bidi="ru-RU"/>
          <w:w w:val="100"/>
          <w:spacing w:val="0"/>
          <w:color w:val="000000"/>
          <w:position w:val="0"/>
        </w:rPr>
        <w:t>_</w:t>
        <w:tab/>
        <w:t>РЕШЕНИЕ</w:t>
      </w:r>
    </w:p>
    <w:p>
      <w:pPr>
        <w:pStyle w:val="Style3"/>
        <w:widowControl w:val="0"/>
        <w:keepNext w:val="0"/>
        <w:keepLines w:val="0"/>
        <w:shd w:val="clear" w:color="auto" w:fill="auto"/>
        <w:bidi w:val="0"/>
        <w:jc w:val="center"/>
        <w:spacing w:before="0" w:after="264" w:line="260" w:lineRule="exact"/>
        <w:ind w:left="260" w:right="0" w:firstLine="0"/>
      </w:pPr>
      <w:r>
        <w:rPr>
          <w:lang w:val="ru-RU" w:eastAsia="ru-RU" w:bidi="ru-RU"/>
          <w:w w:val="100"/>
          <w:spacing w:val="0"/>
          <w:color w:val="000000"/>
          <w:position w:val="0"/>
        </w:rPr>
        <w:t>о возвращении жалобы</w:t>
      </w:r>
    </w:p>
    <w:p>
      <w:pPr>
        <w:pStyle w:val="Style3"/>
        <w:tabs>
          <w:tab w:leader="none" w:pos="7117" w:val="right"/>
          <w:tab w:leader="none" w:pos="8787" w:val="right"/>
          <w:tab w:leader="none" w:pos="9406" w:val="right"/>
        </w:tabs>
        <w:widowControl w:val="0"/>
        <w:keepNext w:val="0"/>
        <w:keepLines w:val="0"/>
        <w:shd w:val="clear" w:color="auto" w:fill="auto"/>
        <w:bidi w:val="0"/>
        <w:spacing w:before="0" w:after="0" w:line="283" w:lineRule="exact"/>
        <w:ind w:left="80" w:right="400" w:firstLine="760"/>
      </w:pPr>
      <w:r>
        <w:rPr>
          <w:lang w:val="ru-RU" w:eastAsia="ru-RU" w:bidi="ru-RU"/>
          <w:w w:val="100"/>
          <w:spacing w:val="0"/>
          <w:color w:val="000000"/>
          <w:position w:val="0"/>
        </w:rPr>
        <w:t xml:space="preserve">Комиссия по контролю в сфере закупок товаров, работ, услуг для обеспечения государственных и муниципальных нужд Краснодарского У ФАС России рассмотрела Вашу жалобу от </w:t>
      </w:r>
      <w:r>
        <w:rPr>
          <w:rStyle w:val="CharStyle5"/>
          <w:lang w:val="ru-RU" w:eastAsia="ru-RU" w:bidi="ru-RU"/>
        </w:rPr>
        <w:t xml:space="preserve">13.07.2020 </w:t>
      </w:r>
      <w:r>
        <w:rPr>
          <w:lang w:val="ru-RU" w:eastAsia="ru-RU" w:bidi="ru-RU"/>
          <w:w w:val="100"/>
          <w:spacing w:val="0"/>
          <w:color w:val="000000"/>
          <w:position w:val="0"/>
        </w:rPr>
        <w:t>на действия - ГКУ КК «Дирекция государственных закупок» при проведении</w:t>
        <w:tab/>
        <w:t>закупки:</w:t>
        <w:tab/>
        <w:t>(извещение</w:t>
        <w:tab/>
        <w:t>№</w:t>
      </w:r>
    </w:p>
    <w:p>
      <w:pPr>
        <w:pStyle w:val="Style3"/>
        <w:widowControl w:val="0"/>
        <w:keepNext w:val="0"/>
        <w:keepLines w:val="0"/>
        <w:shd w:val="clear" w:color="auto" w:fill="auto"/>
        <w:bidi w:val="0"/>
        <w:jc w:val="left"/>
        <w:spacing w:before="0" w:after="0" w:line="283" w:lineRule="exact"/>
        <w:ind w:left="80" w:right="400" w:firstLine="0"/>
      </w:pPr>
      <w:r>
        <w:rPr>
          <w:rStyle w:val="CharStyle5"/>
        </w:rPr>
        <w:t xml:space="preserve">081850000Q820002992), </w:t>
      </w:r>
      <w:r>
        <w:rPr>
          <w:lang w:val="ru-RU" w:eastAsia="ru-RU" w:bidi="ru-RU"/>
          <w:w w:val="100"/>
          <w:spacing w:val="0"/>
          <w:color w:val="000000"/>
          <w:position w:val="0"/>
        </w:rPr>
        <w:t>поступившую по электронной почте, и сообщает следующее.</w:t>
      </w:r>
    </w:p>
    <w:p>
      <w:pPr>
        <w:pStyle w:val="Style3"/>
        <w:widowControl w:val="0"/>
        <w:keepNext w:val="0"/>
        <w:keepLines w:val="0"/>
        <w:shd w:val="clear" w:color="auto" w:fill="auto"/>
        <w:bidi w:val="0"/>
        <w:spacing w:before="0" w:after="0" w:line="336" w:lineRule="exact"/>
        <w:ind w:left="220" w:right="400" w:firstLine="620"/>
      </w:pPr>
      <w:r>
        <w:rPr>
          <w:lang w:val="ru-RU" w:eastAsia="ru-RU" w:bidi="ru-RU"/>
          <w:w w:val="100"/>
          <w:spacing w:val="0"/>
          <w:color w:val="000000"/>
          <w:position w:val="0"/>
        </w:rPr>
        <w:t>В соответствии с п.1 ч.11 ст. 105 Федерального закона от 05.04.2013г. № 44- ФЗ «О контрактной системе в сфере закупок товаров, работ, услуг для обеспечения государственных и муниципальных нужд» (далее - Закон о контрактной системе) жалоба возвращается подавшему ее лицу без рассмотрения в случае, если жалоба не соответствует требованиям, установленным настоящей статьей.</w:t>
      </w:r>
    </w:p>
    <w:p>
      <w:pPr>
        <w:pStyle w:val="Style3"/>
        <w:tabs>
          <w:tab w:leader="none" w:pos="1377" w:val="left"/>
          <w:tab w:leader="none" w:pos="3632" w:val="center"/>
          <w:tab w:leader="none" w:pos="4477" w:val="right"/>
          <w:tab w:leader="none" w:pos="5374" w:val="center"/>
          <w:tab w:leader="none" w:pos="6416" w:val="center"/>
          <w:tab w:leader="none" w:pos="7482" w:val="center"/>
          <w:tab w:leader="none" w:pos="9862" w:val="right"/>
        </w:tabs>
        <w:widowControl w:val="0"/>
        <w:keepNext w:val="0"/>
        <w:keepLines w:val="0"/>
        <w:shd w:val="clear" w:color="auto" w:fill="auto"/>
        <w:bidi w:val="0"/>
        <w:spacing w:before="0" w:after="0" w:line="293" w:lineRule="exact"/>
        <w:ind w:left="80" w:right="40" w:firstLine="540"/>
      </w:pPr>
      <w:r>
        <w:rPr>
          <w:lang w:val="ru-RU" w:eastAsia="ru-RU" w:bidi="ru-RU"/>
          <w:w w:val="100"/>
          <w:spacing w:val="0"/>
          <w:color w:val="000000"/>
          <w:position w:val="0"/>
        </w:rPr>
        <w:t>Согласно ч.4 ст. 105 Закона о контрактной системе обжалование действий (бездействия)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оператора специализированной электронной площадки в случае, если данные действия (бездействие) совершены при проведении электронной процедуры, ; закрытой электронной процедуры, осуществляется в порядке, установленном настоящей главой, в любое время определения поставщика (подрядчика, исполнителя), а также в период аккредитации на электронной площадке, специализированной электронной площадке, но не позднее чем через пять дней с даты размещения в единой информационной системе протокола подведения итогов открытого конкурса в электронной форме, закрытого конкурса в электронной форме, конкурса с ограниченным участием в электронной форме, закрытого конкурса с ограниченным участием в электронной форме, двухэтапного конкурса в электронной форме, закрытого двухэтапного конкурса в электронной форме, электронного аукциона, закрытого аукциона в электронной форме, протокола рассмотрения и оценки заявок на участие в запросе котировок в электронной форме, итогового протокола Запроса предложений в электронной форме или протокола рассмотрения единственной заявки на участие в открытом конкурсе в электронной форме, закрытом конкурсе в электронной фцрме, конкурсе с ограниченным участием в электронной форме, закрытом конкурсе с ограниченным участием в электронной форме, двухэтапном конкурсе в электронной форме, закрытом двухэтапном конкурсе в электронной форме, электронном аукционе, закрытом аукционе в электронной форме, протокола рассмотрения заявки единственного участника на участие в открытом конкурсе в электронной форме, закрытом конкурсе в электронной форме, конкурсе с ограниченным участием в электронной форме, закрытом конкурсе с ограниченным участием,</w:t>
        <w:tab/>
        <w:t>двухэтапном</w:t>
        <w:tab/>
        <w:t>конкурсе</w:t>
        <w:tab/>
        <w:t>в</w:t>
        <w:tab/>
        <w:t>электронной</w:t>
        <w:tab/>
        <w:t>форме,</w:t>
        <w:tab/>
        <w:t>закрытом</w:t>
        <w:tab/>
        <w:t>двухэтапном</w:t>
      </w:r>
    </w:p>
    <w:p>
      <w:pPr>
        <w:pStyle w:val="Style3"/>
        <w:tabs>
          <w:tab w:leader="none" w:pos="1374" w:val="left"/>
          <w:tab w:leader="none" w:pos="3632" w:val="center"/>
          <w:tab w:leader="none" w:pos="5374" w:val="center"/>
          <w:tab w:leader="none" w:pos="6891" w:val="center"/>
          <w:tab w:leader="none" w:pos="8086" w:val="center"/>
          <w:tab w:leader="none" w:pos="9862" w:val="right"/>
        </w:tabs>
        <w:widowControl w:val="0"/>
        <w:keepNext w:val="0"/>
        <w:keepLines w:val="0"/>
        <w:shd w:val="clear" w:color="auto" w:fill="auto"/>
        <w:bidi w:val="0"/>
        <w:spacing w:before="0" w:after="0" w:line="293" w:lineRule="exact"/>
        <w:ind w:left="80" w:right="40" w:firstLine="0"/>
      </w:pPr>
      <w:r>
        <w:rPr>
          <w:lang w:val="ru-RU" w:eastAsia="ru-RU" w:bidi="ru-RU"/>
          <w:w w:val="100"/>
          <w:spacing w:val="0"/>
          <w:color w:val="000000"/>
          <w:position w:val="0"/>
        </w:rPr>
        <w:t xml:space="preserve">конкурсе в электронной форме, в электронном аукционе, закрытом аукционе в электронной форме </w:t>
      </w:r>
      <w:r>
        <w:rPr>
          <w:rStyle w:val="CharStyle6"/>
        </w:rPr>
        <w:t>при признании соответствующей электронной процедуры или</w:t>
      </w:r>
      <w:r>
        <w:rPr>
          <w:lang w:val="ru-RU" w:eastAsia="ru-RU" w:bidi="ru-RU"/>
          <w:w w:val="100"/>
          <w:spacing w:val="0"/>
          <w:color w:val="000000"/>
          <w:position w:val="0"/>
        </w:rPr>
        <w:t xml:space="preserve"> </w:t>
      </w:r>
      <w:r>
        <w:rPr>
          <w:rStyle w:val="CharStyle6"/>
        </w:rPr>
        <w:t>закрытой</w:t>
        <w:tab/>
        <w:t>электронной</w:t>
        <w:tab/>
        <w:t>процедуры</w:t>
        <w:tab/>
        <w:t>несостоявшейся.</w:t>
      </w:r>
      <w:r>
        <w:rPr>
          <w:lang w:val="ru-RU" w:eastAsia="ru-RU" w:bidi="ru-RU"/>
          <w:w w:val="100"/>
          <w:spacing w:val="0"/>
          <w:color w:val="000000"/>
          <w:position w:val="0"/>
        </w:rPr>
        <w:tab/>
        <w:t>Жалоба</w:t>
        <w:tab/>
        <w:t>на</w:t>
        <w:tab/>
        <w:t>положения</w:t>
      </w:r>
    </w:p>
    <w:p>
      <w:pPr>
        <w:pStyle w:val="Style3"/>
        <w:widowControl w:val="0"/>
        <w:keepNext w:val="0"/>
        <w:keepLines w:val="0"/>
        <w:shd w:val="clear" w:color="auto" w:fill="auto"/>
        <w:bidi w:val="0"/>
        <w:spacing w:before="0" w:after="664" w:line="293" w:lineRule="exact"/>
        <w:ind w:left="80" w:right="40" w:firstLine="0"/>
      </w:pPr>
      <w:r>
        <w:rPr>
          <w:lang w:val="ru-RU" w:eastAsia="ru-RU" w:bidi="ru-RU"/>
          <w:w w:val="100"/>
          <w:spacing w:val="0"/>
          <w:color w:val="000000"/>
          <w:position w:val="0"/>
        </w:rPr>
        <w:t>документации и (или) извещения о проведении электронных процедур, закрытых ддсктронных -рроцедур может быть подана участником закупки до окончания срока</w:t>
      </w:r>
    </w:p>
    <w:p>
      <w:pPr>
        <w:pStyle w:val="Style7"/>
        <w:tabs>
          <w:tab w:leader="none" w:pos="1374" w:val="left"/>
        </w:tabs>
        <w:widowControl w:val="0"/>
        <w:keepNext w:val="0"/>
        <w:keepLines w:val="0"/>
        <w:shd w:val="clear" w:color="auto" w:fill="auto"/>
        <w:bidi w:val="0"/>
        <w:spacing w:before="0" w:after="0"/>
        <w:ind w:left="80" w:right="0" w:firstLine="0"/>
      </w:pPr>
      <w:r>
        <w:rPr>
          <w:lang w:val="en-US" w:eastAsia="en-US" w:bidi="en-US"/>
          <w:w w:val="100"/>
          <w:spacing w:val="0"/>
          <w:color w:val="000000"/>
          <w:position w:val="0"/>
        </w:rPr>
        <w:t>• iti</w:t>
        <w:tab/>
      </w:r>
      <w:r>
        <w:rPr>
          <w:lang w:val="ru-RU" w:eastAsia="ru-RU" w:bidi="ru-RU"/>
          <w:w w:val="100"/>
          <w:spacing w:val="0"/>
          <w:color w:val="000000"/>
          <w:position w:val="0"/>
        </w:rPr>
        <w:t xml:space="preserve">- ’. -,у </w:t>
      </w:r>
      <w:r>
        <w:rPr>
          <w:rStyle w:val="CharStyle9"/>
        </w:rPr>
        <w:t>Z</w:t>
      </w:r>
    </w:p>
    <w:p>
      <w:pPr>
        <w:pStyle w:val="Style10"/>
        <w:tabs>
          <w:tab w:leader="none" w:pos="1374" w:val="left"/>
        </w:tabs>
        <w:widowControl w:val="0"/>
        <w:keepNext w:val="0"/>
        <w:keepLines w:val="0"/>
        <w:shd w:val="clear" w:color="auto" w:fill="auto"/>
        <w:bidi w:val="0"/>
        <w:spacing w:before="0" w:after="0"/>
        <w:ind w:left="80" w:right="0" w:firstLine="0"/>
      </w:pPr>
      <w:r>
        <w:rPr>
          <w:rStyle w:val="CharStyle12"/>
          <w:i w:val="0"/>
          <w:iCs w:val="0"/>
        </w:rPr>
        <w:t>ЛС</w:t>
        <w:tab/>
        <w:t xml:space="preserve">, </w:t>
      </w:r>
      <w:r>
        <w:rPr>
          <w:lang w:val="en-US" w:eastAsia="en-US" w:bidi="en-US"/>
          <w:w w:val="100"/>
          <w:color w:val="000000"/>
          <w:position w:val="0"/>
        </w:rPr>
        <w:t xml:space="preserve">L </w:t>
      </w:r>
      <w:r>
        <w:rPr>
          <w:lang w:val="ru-RU" w:eastAsia="ru-RU" w:bidi="ru-RU"/>
          <w:w w:val="100"/>
          <w:color w:val="000000"/>
          <w:position w:val="0"/>
        </w:rPr>
        <w:t>\ .'</w:t>
      </w:r>
      <w:r>
        <w:rPr>
          <w:lang w:val="ru-RU" w:eastAsia="ru-RU" w:bidi="ru-RU"/>
          <w:vertAlign w:val="subscript"/>
          <w:w w:val="100"/>
          <w:color w:val="000000"/>
          <w:position w:val="0"/>
        </w:rPr>
        <w:t>к</w:t>
      </w:r>
    </w:p>
    <w:p>
      <w:pPr>
        <w:pStyle w:val="Style13"/>
        <w:tabs>
          <w:tab w:leader="none" w:pos="1374" w:val="left"/>
        </w:tabs>
        <w:widowControl w:val="0"/>
        <w:keepNext w:val="0"/>
        <w:keepLines w:val="0"/>
        <w:shd w:val="clear" w:color="auto" w:fill="auto"/>
        <w:bidi w:val="0"/>
        <w:spacing w:before="0" w:after="0"/>
        <w:ind w:left="220" w:right="0" w:firstLine="0"/>
      </w:pPr>
      <w:r>
        <w:rPr>
          <w:rStyle w:val="CharStyle15"/>
        </w:rPr>
        <w:t>7</w:t>
      </w:r>
      <w:r>
        <w:rPr>
          <w:rStyle w:val="CharStyle16"/>
        </w:rPr>
        <w:t>.</w:t>
      </w:r>
      <w:r>
        <w:rPr>
          <w:lang w:val="ru-RU" w:eastAsia="ru-RU" w:bidi="ru-RU"/>
          <w:w w:val="100"/>
          <w:color w:val="000000"/>
          <w:position w:val="0"/>
        </w:rPr>
        <w:tab/>
      </w:r>
      <w:r>
        <w:rPr>
          <w:lang w:val="en-US" w:eastAsia="en-US" w:bidi="en-US"/>
          <w:w w:val="100"/>
          <w:color w:val="000000"/>
          <w:position w:val="0"/>
        </w:rPr>
        <w:t xml:space="preserve">L </w:t>
      </w:r>
      <w:r>
        <w:rPr>
          <w:lang w:val="ru-RU" w:eastAsia="ru-RU" w:bidi="ru-RU"/>
          <w:w w:val="100"/>
          <w:color w:val="000000"/>
          <w:position w:val="0"/>
        </w:rPr>
        <w:t xml:space="preserve">-- </w:t>
      </w:r>
      <w:r>
        <w:rPr>
          <w:rStyle w:val="CharStyle4"/>
        </w:rPr>
        <w:t>подачи заявок на участие в таких процедурах. При этом в случае, если обжалуемые действия (бездействие) совершены после начала рассмотрения заявок на участие в электронной процедуре, закрытой электронной процедуре, обжалование данных действий (бездействия) может осуществляться только участником закупки, подавшим заявку на участие в электронной процедуре, закрытой электронной процедуре. В случае, если обжалуемые действия (бездействие) совершены при рассмотрении вторых частей заявок на участие в открытом конкурсе в электронной форме, закрытом конкурсе в электронной форме, конкурсе с ограниченным участием в электронной форме, закрытом конкурсе с ограниченным участием в электронной форме, двухэтапном конкурсе в электронной форме, закрытом двухэтапном конкурсе в электронной форме, электронном аукционе, закрытом аукционе в электронной форме, при рассмотрении заявок на участие в запросе котировок в электронной форме, запросе предложений в электронной форме или при заключении контракта, обжалование данных действий (бездействия) осуществляется до заключения контракта. По истечении указанных сроков обжалование данных действий (бездействия) заказчика, уполномоченного органа, уполномоченного учреждения, специализированной организации, оператора электронной площадки, оператора специализированной электронной площадки, комиссии по осуществлению закупок осуществляется только в судебном порядке.</w:t>
      </w:r>
    </w:p>
    <w:p>
      <w:pPr>
        <w:pStyle w:val="Style3"/>
        <w:widowControl w:val="0"/>
        <w:keepNext w:val="0"/>
        <w:keepLines w:val="0"/>
        <w:shd w:val="clear" w:color="auto" w:fill="auto"/>
        <w:bidi w:val="0"/>
        <w:spacing w:before="0" w:after="0" w:line="283" w:lineRule="exact"/>
        <w:ind w:left="200" w:right="40" w:firstLine="560"/>
      </w:pPr>
      <w:r>
        <w:rPr>
          <w:lang w:val="ru-RU" w:eastAsia="ru-RU" w:bidi="ru-RU"/>
          <w:w w:val="100"/>
          <w:spacing w:val="0"/>
          <w:color w:val="000000"/>
          <w:position w:val="0"/>
        </w:rPr>
        <w:t xml:space="preserve">, Протокол подведения итогов электронного аукциона № 0818500000820002992 от </w:t>
      </w:r>
      <w:r>
        <w:rPr>
          <w:lang w:val="en-US" w:eastAsia="en-US" w:bidi="en-US"/>
          <w:w w:val="100"/>
          <w:spacing w:val="0"/>
          <w:color w:val="000000"/>
          <w:position w:val="0"/>
        </w:rPr>
        <w:t xml:space="preserve">3Q.06.2020, </w:t>
      </w:r>
      <w:r>
        <w:rPr>
          <w:lang w:val="ru-RU" w:eastAsia="ru-RU" w:bidi="ru-RU"/>
          <w:w w:val="100"/>
          <w:spacing w:val="0"/>
          <w:color w:val="000000"/>
          <w:position w:val="0"/>
        </w:rPr>
        <w:t xml:space="preserve">размещен на электронной площадке РТС-тендер 30.06.2020. Согласно данному протоколу аукцион признан </w:t>
      </w:r>
      <w:r>
        <w:rPr>
          <w:rStyle w:val="CharStyle6"/>
        </w:rPr>
        <w:t>несостоявшимся</w:t>
      </w:r>
      <w:r>
        <w:rPr>
          <w:lang w:val="ru-RU" w:eastAsia="ru-RU" w:bidi="ru-RU"/>
          <w:w w:val="100"/>
          <w:spacing w:val="0"/>
          <w:color w:val="000000"/>
          <w:position w:val="0"/>
        </w:rPr>
        <w:t>. Жалоба ООО «НОВАЯ ЛИНИЯ» подана в Краснодарское УФАС России 13.07.2020 с нарушением сроков, установленных Законом о контрактной системе.</w:t>
      </w:r>
    </w:p>
    <w:p>
      <w:pPr>
        <w:pStyle w:val="Style3"/>
        <w:tabs>
          <w:tab w:leader="none" w:pos="1005" w:val="left"/>
        </w:tabs>
        <w:widowControl w:val="0"/>
        <w:keepNext w:val="0"/>
        <w:keepLines w:val="0"/>
        <w:shd w:val="clear" w:color="auto" w:fill="auto"/>
        <w:bidi w:val="0"/>
        <w:jc w:val="left"/>
        <w:spacing w:before="0" w:after="0" w:line="346" w:lineRule="exact"/>
        <w:ind w:left="40" w:right="280" w:firstLine="900"/>
      </w:pPr>
      <w:r>
        <w:rPr>
          <w:lang w:val="ru-RU" w:eastAsia="ru-RU" w:bidi="ru-RU"/>
          <w:w w:val="100"/>
          <w:spacing w:val="0"/>
          <w:color w:val="000000"/>
          <w:position w:val="0"/>
        </w:rPr>
        <w:t xml:space="preserve">На основании изложенного, руководствуясь п.1), п.2) ч.11 ст. 105 Закона о контрактной системе, жалоба ООО «НОВАЯ ЛИНИЯ» подлежит возвращению, </w:t>
      </w:r>
      <w:r>
        <w:rPr>
          <w:lang w:val="en-US" w:eastAsia="en-US" w:bidi="en-US"/>
          <w:w w:val="100"/>
          <w:spacing w:val="0"/>
          <w:color w:val="000000"/>
          <w:position w:val="0"/>
        </w:rPr>
        <w:t>nj:</w:t>
        <w:tab/>
      </w:r>
      <w:r>
        <w:rPr>
          <w:lang w:val="ru-RU" w:eastAsia="ru-RU" w:bidi="ru-RU"/>
          <w:w w:val="100"/>
          <w:spacing w:val="0"/>
          <w:color w:val="000000"/>
          <w:position w:val="0"/>
        </w:rPr>
        <w:t>В соответствии с ч. 14 ст. 105 Закона о контрактной системе решение о</w:t>
      </w:r>
    </w:p>
    <w:p>
      <w:pPr>
        <w:pStyle w:val="Style3"/>
        <w:widowControl w:val="0"/>
        <w:keepNext w:val="0"/>
        <w:keepLines w:val="0"/>
        <w:shd w:val="clear" w:color="auto" w:fill="auto"/>
        <w:bidi w:val="0"/>
        <w:spacing w:before="0" w:after="0" w:line="346" w:lineRule="exact"/>
        <w:ind w:left="40" w:right="0" w:firstLine="0"/>
      </w:pPr>
      <w:r>
        <w:rPr>
          <w:lang w:val="ru-RU" w:eastAsia="ru-RU" w:bidi="ru-RU"/>
          <w:w w:val="100"/>
          <w:spacing w:val="0"/>
          <w:color w:val="000000"/>
          <w:position w:val="0"/>
        </w:rPr>
        <w:t>^возвращении жалобы может быть обжаловано в судебном порядке.</w:t>
      </w:r>
    </w:p>
    <w:sectPr>
      <w:footnotePr>
        <w:pos w:val="pageBottom"/>
        <w:numFmt w:val="decimal"/>
        <w:numRestart w:val="continuous"/>
      </w:footnotePr>
      <w:type w:val="continuous"/>
      <w:pgSz w:w="11906" w:h="16838"/>
      <w:pgMar w:top="1074" w:left="742" w:right="742" w:bottom="551" w:header="0" w:footer="3" w:gutter="581"/>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_"/>
    <w:basedOn w:val="DefaultParagraphFont"/>
    <w:link w:val="Style3"/>
    <w:rPr>
      <w:b w:val="0"/>
      <w:bCs w:val="0"/>
      <w:i w:val="0"/>
      <w:iCs w:val="0"/>
      <w:u w:val="none"/>
      <w:strike w:val="0"/>
      <w:smallCaps w:val="0"/>
      <w:sz w:val="26"/>
      <w:szCs w:val="26"/>
      <w:rFonts w:ascii="Times New Roman" w:eastAsia="Times New Roman" w:hAnsi="Times New Roman" w:cs="Times New Roman"/>
    </w:rPr>
  </w:style>
  <w:style w:type="character" w:customStyle="1" w:styleId="CharStyle5">
    <w:name w:val="Основной текст + 11,5 pt,Полужирный"/>
    <w:basedOn w:val="CharStyle4"/>
    <w:rPr>
      <w:lang w:val="en-US" w:eastAsia="en-US" w:bidi="en-US"/>
      <w:b/>
      <w:bCs/>
      <w:sz w:val="23"/>
      <w:szCs w:val="23"/>
      <w:w w:val="100"/>
      <w:spacing w:val="0"/>
      <w:color w:val="000000"/>
      <w:position w:val="0"/>
    </w:rPr>
  </w:style>
  <w:style w:type="character" w:customStyle="1" w:styleId="CharStyle6">
    <w:name w:val="Основной текст"/>
    <w:basedOn w:val="CharStyle4"/>
    <w:rPr>
      <w:lang w:val="ru-RU" w:eastAsia="ru-RU" w:bidi="ru-RU"/>
      <w:u w:val="single"/>
      <w:w w:val="100"/>
      <w:spacing w:val="0"/>
      <w:color w:val="000000"/>
      <w:position w:val="0"/>
    </w:rPr>
  </w:style>
  <w:style w:type="character" w:customStyle="1" w:styleId="CharStyle8">
    <w:name w:val="Основной текст (2)_"/>
    <w:basedOn w:val="DefaultParagraphFont"/>
    <w:link w:val="Style7"/>
    <w:rPr>
      <w:b w:val="0"/>
      <w:bCs w:val="0"/>
      <w:i w:val="0"/>
      <w:iCs w:val="0"/>
      <w:u w:val="none"/>
      <w:strike w:val="0"/>
      <w:smallCaps w:val="0"/>
      <w:sz w:val="11"/>
      <w:szCs w:val="11"/>
      <w:rFonts w:ascii="Times New Roman" w:eastAsia="Times New Roman" w:hAnsi="Times New Roman" w:cs="Times New Roman"/>
    </w:rPr>
  </w:style>
  <w:style w:type="character" w:customStyle="1" w:styleId="CharStyle9">
    <w:name w:val="Основной текст (2) + Impact,7 pt,Курсив"/>
    <w:basedOn w:val="CharStyle8"/>
    <w:rPr>
      <w:lang w:val="en-US" w:eastAsia="en-US" w:bidi="en-US"/>
      <w:i/>
      <w:iCs/>
      <w:sz w:val="14"/>
      <w:szCs w:val="14"/>
      <w:rFonts w:ascii="Impact" w:eastAsia="Impact" w:hAnsi="Impact" w:cs="Impact"/>
      <w:w w:val="100"/>
      <w:spacing w:val="0"/>
      <w:color w:val="000000"/>
      <w:position w:val="0"/>
    </w:rPr>
  </w:style>
  <w:style w:type="character" w:customStyle="1" w:styleId="CharStyle11">
    <w:name w:val="Основной текст (3)_"/>
    <w:basedOn w:val="DefaultParagraphFont"/>
    <w:link w:val="Style10"/>
    <w:rPr>
      <w:b w:val="0"/>
      <w:bCs w:val="0"/>
      <w:i/>
      <w:iCs/>
      <w:u w:val="none"/>
      <w:strike w:val="0"/>
      <w:smallCaps w:val="0"/>
      <w:sz w:val="9"/>
      <w:szCs w:val="9"/>
      <w:rFonts w:ascii="Times New Roman" w:eastAsia="Times New Roman" w:hAnsi="Times New Roman" w:cs="Times New Roman"/>
      <w:spacing w:val="40"/>
    </w:rPr>
  </w:style>
  <w:style w:type="character" w:customStyle="1" w:styleId="CharStyle12">
    <w:name w:val="Основной текст (3) + 8 pt,Не курсив,Интервал 0 pt"/>
    <w:basedOn w:val="CharStyle11"/>
    <w:rPr>
      <w:lang w:val="ru-RU" w:eastAsia="ru-RU" w:bidi="ru-RU"/>
      <w:i/>
      <w:iCs/>
      <w:sz w:val="16"/>
      <w:szCs w:val="16"/>
      <w:w w:val="100"/>
      <w:spacing w:val="0"/>
      <w:color w:val="000000"/>
      <w:position w:val="0"/>
    </w:rPr>
  </w:style>
  <w:style w:type="character" w:customStyle="1" w:styleId="CharStyle14">
    <w:name w:val="Основной текст (4)_"/>
    <w:basedOn w:val="DefaultParagraphFont"/>
    <w:link w:val="Style13"/>
    <w:rPr>
      <w:b w:val="0"/>
      <w:bCs w:val="0"/>
      <w:i w:val="0"/>
      <w:iCs w:val="0"/>
      <w:u w:val="none"/>
      <w:strike w:val="0"/>
      <w:smallCaps w:val="0"/>
      <w:sz w:val="8"/>
      <w:szCs w:val="8"/>
      <w:rFonts w:ascii="Times New Roman" w:eastAsia="Times New Roman" w:hAnsi="Times New Roman" w:cs="Times New Roman"/>
      <w:spacing w:val="20"/>
    </w:rPr>
  </w:style>
  <w:style w:type="character" w:customStyle="1" w:styleId="CharStyle15">
    <w:name w:val="Основной текст (4) + Consolas,7,5 pt,Курсив,Интервал 0 pt"/>
    <w:basedOn w:val="CharStyle14"/>
    <w:rPr>
      <w:lang w:val="ru-RU" w:eastAsia="ru-RU" w:bidi="ru-RU"/>
      <w:i/>
      <w:iCs/>
      <w:sz w:val="15"/>
      <w:szCs w:val="15"/>
      <w:rFonts w:ascii="Consolas" w:eastAsia="Consolas" w:hAnsi="Consolas" w:cs="Consolas"/>
      <w:w w:val="100"/>
      <w:spacing w:val="0"/>
      <w:color w:val="000000"/>
      <w:position w:val="0"/>
    </w:rPr>
  </w:style>
  <w:style w:type="character" w:customStyle="1" w:styleId="CharStyle16">
    <w:name w:val="Основной текст (4) + Consolas,Курсив,Интервал 0 pt"/>
    <w:basedOn w:val="CharStyle14"/>
    <w:rPr>
      <w:lang w:val="ru-RU" w:eastAsia="ru-RU" w:bidi="ru-RU"/>
      <w:i/>
      <w:iCs/>
      <w:rFonts w:ascii="Consolas" w:eastAsia="Consolas" w:hAnsi="Consolas" w:cs="Consolas"/>
      <w:w w:val="100"/>
      <w:spacing w:val="0"/>
      <w:color w:val="000000"/>
      <w:position w:val="0"/>
    </w:rPr>
  </w:style>
  <w:style w:type="paragraph" w:customStyle="1" w:styleId="Style3">
    <w:name w:val="Основной текст"/>
    <w:basedOn w:val="Normal"/>
    <w:link w:val="CharStyle4"/>
    <w:pPr>
      <w:widowControl w:val="0"/>
      <w:shd w:val="clear" w:color="auto" w:fill="FFFFFF"/>
      <w:jc w:val="both"/>
      <w:spacing w:after="60" w:line="0"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7">
    <w:name w:val="Основной текст (2)"/>
    <w:basedOn w:val="Normal"/>
    <w:link w:val="CharStyle8"/>
    <w:pPr>
      <w:widowControl w:val="0"/>
      <w:shd w:val="clear" w:color="auto" w:fill="FFFFFF"/>
      <w:jc w:val="both"/>
      <w:spacing w:before="660" w:line="288" w:lineRule="exact"/>
    </w:pPr>
    <w:rPr>
      <w:b w:val="0"/>
      <w:bCs w:val="0"/>
      <w:i w:val="0"/>
      <w:iCs w:val="0"/>
      <w:u w:val="none"/>
      <w:strike w:val="0"/>
      <w:smallCaps w:val="0"/>
      <w:sz w:val="11"/>
      <w:szCs w:val="11"/>
      <w:rFonts w:ascii="Times New Roman" w:eastAsia="Times New Roman" w:hAnsi="Times New Roman" w:cs="Times New Roman"/>
    </w:rPr>
  </w:style>
  <w:style w:type="paragraph" w:customStyle="1" w:styleId="Style10">
    <w:name w:val="Основной текст (3)"/>
    <w:basedOn w:val="Normal"/>
    <w:link w:val="CharStyle11"/>
    <w:pPr>
      <w:widowControl w:val="0"/>
      <w:shd w:val="clear" w:color="auto" w:fill="FFFFFF"/>
      <w:jc w:val="both"/>
      <w:spacing w:line="288" w:lineRule="exact"/>
    </w:pPr>
    <w:rPr>
      <w:b w:val="0"/>
      <w:bCs w:val="0"/>
      <w:i/>
      <w:iCs/>
      <w:u w:val="none"/>
      <w:strike w:val="0"/>
      <w:smallCaps w:val="0"/>
      <w:sz w:val="9"/>
      <w:szCs w:val="9"/>
      <w:rFonts w:ascii="Times New Roman" w:eastAsia="Times New Roman" w:hAnsi="Times New Roman" w:cs="Times New Roman"/>
      <w:spacing w:val="40"/>
    </w:rPr>
  </w:style>
  <w:style w:type="paragraph" w:customStyle="1" w:styleId="Style13">
    <w:name w:val="Основной текст (4)"/>
    <w:basedOn w:val="Normal"/>
    <w:link w:val="CharStyle14"/>
    <w:pPr>
      <w:widowControl w:val="0"/>
      <w:shd w:val="clear" w:color="auto" w:fill="FFFFFF"/>
      <w:jc w:val="both"/>
      <w:spacing w:line="288" w:lineRule="exact"/>
    </w:pPr>
    <w:rPr>
      <w:b w:val="0"/>
      <w:bCs w:val="0"/>
      <w:i w:val="0"/>
      <w:iCs w:val="0"/>
      <w:u w:val="none"/>
      <w:strike w:val="0"/>
      <w:smallCaps w:val="0"/>
      <w:sz w:val="8"/>
      <w:szCs w:val="8"/>
      <w:rFonts w:ascii="Times New Roman" w:eastAsia="Times New Roman" w:hAnsi="Times New Roman" w:cs="Times New Roman"/>
      <w:spacing w:val="20"/>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