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407"/>
        <w:ind w:left="5080" w:right="1540" w:firstLine="0"/>
      </w:pPr>
      <w:r>
        <w:rPr>
          <w:lang w:val="ru-RU" w:eastAsia="ru-RU" w:bidi="ru-RU"/>
          <w:sz w:val="24"/>
          <w:szCs w:val="24"/>
          <w:w w:val="100"/>
          <w:spacing w:val="0"/>
          <w:color w:val="000000"/>
          <w:position w:val="0"/>
        </w:rPr>
        <w:t>Г енеральному директору ООО «Объединение энергоменеджмента»</w:t>
      </w:r>
    </w:p>
    <w:p>
      <w:pPr>
        <w:pStyle w:val="Style5"/>
        <w:widowControl w:val="0"/>
        <w:keepNext w:val="0"/>
        <w:keepLines w:val="0"/>
        <w:shd w:val="clear" w:color="auto" w:fill="auto"/>
        <w:bidi w:val="0"/>
        <w:spacing w:before="0" w:after="211" w:line="240" w:lineRule="exact"/>
        <w:ind w:left="0" w:right="0" w:firstLine="0"/>
      </w:pPr>
      <w:r>
        <w:rPr>
          <w:lang w:val="ru-RU" w:eastAsia="ru-RU" w:bidi="ru-RU"/>
          <w:sz w:val="24"/>
          <w:szCs w:val="24"/>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В Курское У ФАС России на официальный адрес электронной почты в форме электронного документа 16.07.2020г. поступила жалоба (вх.№3883) общества с ограниченной ответственностью «Объединение энергоменеджмента» (далее - ООО «Объединение энергоменеджмента»).</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Согласно 4.1 ст. 105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Как установлено п.З ч.8 ст.105 ФЗ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w:t>
      </w:r>
      <w:r>
        <w:rPr>
          <w:rStyle w:val="CharStyle7"/>
        </w:rPr>
        <w:t>должна содержать</w:t>
      </w:r>
      <w:r>
        <w:rPr>
          <w:lang w:val="ru-RU" w:eastAsia="ru-RU" w:bidi="ru-RU"/>
          <w:sz w:val="24"/>
          <w:szCs w:val="24"/>
          <w:w w:val="100"/>
          <w:spacing w:val="0"/>
          <w:color w:val="000000"/>
          <w:position w:val="0"/>
        </w:rPr>
        <w:t>:</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 </w:t>
      </w:r>
      <w:r>
        <w:rPr>
          <w:rStyle w:val="CharStyle7"/>
        </w:rPr>
        <w:t>указание на закупку</w:t>
      </w:r>
      <w:r>
        <w:rPr>
          <w:lang w:val="ru-RU" w:eastAsia="ru-RU" w:bidi="ru-RU"/>
          <w:sz w:val="24"/>
          <w:szCs w:val="24"/>
          <w:w w:val="100"/>
          <w:spacing w:val="0"/>
          <w:color w:val="000000"/>
          <w:position w:val="0"/>
        </w:rPr>
        <w:t>, за исключением случаев обжалования действий (бездействия) оператора электронной площадки, оператора специализированной электронной площадки, связанных с аккредитацией участника закупки на электронной площадке, специализированной электронной площадке</w:t>
      </w:r>
    </w:p>
    <w:p>
      <w:pPr>
        <w:pStyle w:val="Style3"/>
        <w:widowControl w:val="0"/>
        <w:keepNext w:val="0"/>
        <w:keepLines w:val="0"/>
        <w:shd w:val="clear" w:color="auto" w:fill="auto"/>
        <w:bidi w:val="0"/>
        <w:jc w:val="both"/>
        <w:spacing w:before="0" w:after="0"/>
        <w:ind w:left="20" w:right="40" w:firstLine="720"/>
      </w:pPr>
      <w:r>
        <w:rPr>
          <w:lang w:val="ru-RU" w:eastAsia="ru-RU" w:bidi="ru-RU"/>
          <w:sz w:val="24"/>
          <w:szCs w:val="24"/>
          <w:w w:val="100"/>
          <w:spacing w:val="0"/>
          <w:color w:val="000000"/>
          <w:position w:val="0"/>
        </w:rPr>
        <w:t xml:space="preserve">В своей жалобе, ООО «Объединение энергоменеджмента» </w:t>
      </w:r>
      <w:r>
        <w:rPr>
          <w:rStyle w:val="CharStyle7"/>
        </w:rPr>
        <w:t>одновременно</w:t>
      </w:r>
      <w:r>
        <w:rPr>
          <w:lang w:val="ru-RU" w:eastAsia="ru-RU" w:bidi="ru-RU"/>
          <w:sz w:val="24"/>
          <w:szCs w:val="24"/>
          <w:w w:val="100"/>
          <w:spacing w:val="0"/>
          <w:color w:val="000000"/>
          <w:position w:val="0"/>
        </w:rPr>
        <w:t xml:space="preserve"> </w:t>
      </w:r>
      <w:r>
        <w:rPr>
          <w:rStyle w:val="CharStyle7"/>
        </w:rPr>
        <w:t>указывает на 2 (две) закупки</w:t>
      </w:r>
      <w:r>
        <w:rPr>
          <w:lang w:val="ru-RU" w:eastAsia="ru-RU" w:bidi="ru-RU"/>
          <w:sz w:val="24"/>
          <w:szCs w:val="24"/>
          <w:w w:val="100"/>
          <w:spacing w:val="0"/>
          <w:color w:val="000000"/>
          <w:position w:val="0"/>
        </w:rPr>
        <w:t xml:space="preserve"> с разными номерами извещений, а именно:</w:t>
      </w:r>
    </w:p>
    <w:p>
      <w:pPr>
        <w:pStyle w:val="Style8"/>
        <w:tabs>
          <w:tab w:leader="none" w:pos="9376" w:val="right"/>
        </w:tabs>
        <w:widowControl w:val="0"/>
        <w:keepNext w:val="0"/>
        <w:keepLines w:val="0"/>
        <w:shd w:val="clear" w:color="auto" w:fill="auto"/>
        <w:bidi w:val="0"/>
        <w:spacing w:before="0" w:after="0"/>
        <w:ind w:left="20" w:right="0" w:firstLine="0"/>
      </w:pPr>
      <w:r>
        <w:rPr>
          <w:rStyle w:val="CharStyle10"/>
          <w:i/>
          <w:iCs/>
        </w:rPr>
        <w:t>«...</w:t>
      </w:r>
      <w:r>
        <w:rPr>
          <w:lang w:val="ru-RU" w:eastAsia="ru-RU" w:bidi="ru-RU"/>
          <w:sz w:val="24"/>
          <w:szCs w:val="24"/>
          <w:w w:val="100"/>
          <w:spacing w:val="0"/>
          <w:color w:val="000000"/>
          <w:position w:val="0"/>
        </w:rPr>
        <w:t>0151300021520000015</w:t>
      </w:r>
      <w:r>
        <w:rPr>
          <w:rStyle w:val="CharStyle10"/>
          <w:i/>
          <w:iCs/>
        </w:rPr>
        <w:t>...»</w:t>
        <w:tab/>
        <w:t>«...</w:t>
      </w:r>
      <w:r>
        <w:rPr>
          <w:lang w:val="ru-RU" w:eastAsia="ru-RU" w:bidi="ru-RU"/>
          <w:sz w:val="24"/>
          <w:szCs w:val="24"/>
          <w:w w:val="100"/>
          <w:spacing w:val="0"/>
          <w:color w:val="000000"/>
          <w:position w:val="0"/>
        </w:rPr>
        <w:t>0144300004020000336</w:t>
      </w:r>
      <w:r>
        <w:rPr>
          <w:rStyle w:val="CharStyle11"/>
          <w:i w:val="0"/>
          <w:iCs w:val="0"/>
        </w:rPr>
        <w:t>...», то есть по сути</w:t>
      </w:r>
    </w:p>
    <w:p>
      <w:pPr>
        <w:pStyle w:val="Style3"/>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жалуется на 2 (две) закупки.</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При этом, одна из закупок - </w:t>
      </w:r>
      <w:r>
        <w:rPr>
          <w:rStyle w:val="CharStyle12"/>
        </w:rPr>
        <w:t>«</w:t>
      </w:r>
      <w:r>
        <w:rPr>
          <w:rStyle w:val="CharStyle13"/>
        </w:rPr>
        <w:t>0151300021520000015</w:t>
      </w:r>
      <w:r>
        <w:rPr>
          <w:rStyle w:val="CharStyle12"/>
        </w:rPr>
        <w:t>»</w:t>
      </w:r>
      <w:r>
        <w:rPr>
          <w:lang w:val="ru-RU" w:eastAsia="ru-RU" w:bidi="ru-RU"/>
          <w:sz w:val="24"/>
          <w:szCs w:val="24"/>
          <w:w w:val="100"/>
          <w:spacing w:val="0"/>
          <w:color w:val="000000"/>
          <w:position w:val="0"/>
        </w:rPr>
        <w:t xml:space="preserve"> проводится заказчиком - Администрацией Искитимского района Новосибирской области, территориально расположенным за пределами подведомственности Курского У ФАС России.</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Императивными нормами ФЗ «О контрактной системе...» предусмотрена возможность в рамках поданной жалобы указать на 1 (одну) закупку.</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Данный подход подтверждается правовой позицией, изложенной в Письме Министерства экономического развития РФ от 13.08.2015г. №Д28и-2449 и сложившейся судебной практикой (постановление Девятого арбитражного апелляционного суда от 14.10.2014г. по делу №09АП-39642/2014, постановление Девятнадцатого арбитражного апелляционного суда от 23.01.2015г. по делу №А36- 3388/2014).</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Таким образом, жалоба ООО «Объединение энергоменеджмента» подана с нарушением ст. 105 ФЗ «О контрактной системе...».</w:t>
      </w:r>
    </w:p>
    <w:p>
      <w:pPr>
        <w:pStyle w:val="Style3"/>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В соответствии с п.1 4.11 ст. 105 ФЗ «О контрактной системе...», жалоба возвращается подавшему ее лицу без рассмотрения в случае, если жалоба не соответствует требованиям, установленным ст. 105 ФЗ «О контрактной системе...».</w:t>
      </w:r>
    </w:p>
    <w:p>
      <w:pPr>
        <w:pStyle w:val="Style3"/>
        <w:widowControl w:val="0"/>
        <w:keepNext w:val="0"/>
        <w:keepLines w:val="0"/>
        <w:shd w:val="clear" w:color="auto" w:fill="auto"/>
        <w:bidi w:val="0"/>
        <w:jc w:val="both"/>
        <w:spacing w:before="0" w:after="287"/>
        <w:ind w:left="20" w:right="20" w:firstLine="700"/>
      </w:pPr>
      <w:r>
        <w:rPr>
          <w:lang w:val="ru-RU" w:eastAsia="ru-RU" w:bidi="ru-RU"/>
          <w:sz w:val="24"/>
          <w:szCs w:val="24"/>
          <w:w w:val="100"/>
          <w:spacing w:val="0"/>
          <w:color w:val="000000"/>
          <w:position w:val="0"/>
        </w:rPr>
        <w:t>С учетом изложенного, на основании 4.11 ст. 105 ФЗ «О контрактной системе...», жалоба ООО «Объединение энергоменеджмента» не принимается Курским У ФАС России к рассмотрению и возвращается по адресу, указанному в жалобе.</w:t>
      </w:r>
    </w:p>
    <w:p>
      <w:pPr>
        <w:pStyle w:val="Style3"/>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Приложение: жалоба ООО «Объединение энергоменеджмента» в 1 экз.</w:t>
      </w:r>
    </w:p>
    <w:sectPr>
      <w:footnotePr>
        <w:pos w:val="pageBottom"/>
        <w:numFmt w:val="decimal"/>
        <w:numRestart w:val="continuous"/>
      </w:footnotePr>
      <w:type w:val="continuous"/>
      <w:pgSz w:w="11906" w:h="16838"/>
      <w:pgMar w:top="1844" w:left="1253" w:right="1242" w:bottom="184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Основной текст"/>
    <w:basedOn w:val="CharStyle4"/>
    <w:rPr>
      <w:lang w:val="ru-RU" w:eastAsia="ru-RU" w:bidi="ru-RU"/>
      <w:u w:val="single"/>
      <w:sz w:val="24"/>
      <w:szCs w:val="24"/>
      <w:w w:val="100"/>
      <w:spacing w:val="0"/>
      <w:color w:val="000000"/>
      <w:position w:val="0"/>
    </w:rPr>
  </w:style>
  <w:style w:type="character" w:customStyle="1" w:styleId="CharStyle9">
    <w:name w:val="Основной текст (3)_"/>
    <w:basedOn w:val="DefaultParagraphFont"/>
    <w:link w:val="Style8"/>
    <w:rPr>
      <w:b w:val="0"/>
      <w:bCs w:val="0"/>
      <w:i/>
      <w:iCs/>
      <w:u w:val="none"/>
      <w:strike w:val="0"/>
      <w:smallCaps w:val="0"/>
      <w:rFonts w:ascii="Times New Roman" w:eastAsia="Times New Roman" w:hAnsi="Times New Roman" w:cs="Times New Roman"/>
    </w:rPr>
  </w:style>
  <w:style w:type="character" w:customStyle="1" w:styleId="CharStyle10">
    <w:name w:val="Основной текст (3) + Calibri,Интервал 0 pt"/>
    <w:basedOn w:val="CharStyle9"/>
    <w:rPr>
      <w:lang w:val="ru-RU" w:eastAsia="ru-RU" w:bidi="ru-RU"/>
      <w:sz w:val="24"/>
      <w:szCs w:val="24"/>
      <w:rFonts w:ascii="Calibri" w:eastAsia="Calibri" w:hAnsi="Calibri" w:cs="Calibri"/>
      <w:w w:val="100"/>
      <w:spacing w:val="10"/>
      <w:color w:val="000000"/>
      <w:position w:val="0"/>
    </w:rPr>
  </w:style>
  <w:style w:type="character" w:customStyle="1" w:styleId="CharStyle11">
    <w:name w:val="Основной текст (3) + Не курсив"/>
    <w:basedOn w:val="CharStyle9"/>
    <w:rPr>
      <w:lang w:val="ru-RU" w:eastAsia="ru-RU" w:bidi="ru-RU"/>
      <w:i/>
      <w:iCs/>
      <w:sz w:val="24"/>
      <w:szCs w:val="24"/>
      <w:w w:val="100"/>
      <w:spacing w:val="0"/>
      <w:color w:val="000000"/>
      <w:position w:val="0"/>
    </w:rPr>
  </w:style>
  <w:style w:type="character" w:customStyle="1" w:styleId="CharStyle12">
    <w:name w:val="Основной текст + Calibri,Курсив,Интервал 0 pt"/>
    <w:basedOn w:val="CharStyle4"/>
    <w:rPr>
      <w:lang w:val="ru-RU" w:eastAsia="ru-RU" w:bidi="ru-RU"/>
      <w:i/>
      <w:iCs/>
      <w:sz w:val="24"/>
      <w:szCs w:val="24"/>
      <w:rFonts w:ascii="Calibri" w:eastAsia="Calibri" w:hAnsi="Calibri" w:cs="Calibri"/>
      <w:w w:val="100"/>
      <w:spacing w:val="10"/>
      <w:color w:val="000000"/>
      <w:position w:val="0"/>
    </w:rPr>
  </w:style>
  <w:style w:type="character" w:customStyle="1" w:styleId="CharStyle13">
    <w:name w:val="Основной текст + Курсив"/>
    <w:basedOn w:val="CharStyle4"/>
    <w:rPr>
      <w:lang w:val="ru-RU" w:eastAsia="ru-RU" w:bidi="ru-RU"/>
      <w:i/>
      <w:iCs/>
      <w:sz w:val="24"/>
      <w:szCs w:val="24"/>
      <w:w w:val="100"/>
      <w:spacing w:val="0"/>
      <w:color w:val="000000"/>
      <w:position w:val="0"/>
    </w:rPr>
  </w:style>
  <w:style w:type="paragraph" w:customStyle="1" w:styleId="Style3">
    <w:name w:val="Основной текст"/>
    <w:basedOn w:val="Normal"/>
    <w:link w:val="CharStyle4"/>
    <w:pPr>
      <w:widowControl w:val="0"/>
      <w:shd w:val="clear" w:color="auto" w:fill="FFFFFF"/>
      <w:spacing w:after="3360" w:line="299" w:lineRule="exact"/>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360" w:after="300" w:line="0" w:lineRule="exact"/>
    </w:pPr>
    <w:rPr>
      <w:b/>
      <w:bCs/>
      <w:i w:val="0"/>
      <w:iCs w:val="0"/>
      <w:u w:val="none"/>
      <w:strike w:val="0"/>
      <w:smallCaps w:val="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both"/>
      <w:spacing w:line="299" w:lineRule="exact"/>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