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879" w:left="2943" w:right="7810" w:bottom="903" w:header="0" w:footer="3" w:gutter="0"/>
          <w:rtlGutter w:val="0"/>
          <w:cols w:space="720"/>
          <w:noEndnote/>
          <w:docGrid w:linePitch="360"/>
        </w:sectPr>
      </w:pPr>
    </w:p>
    <w:p>
      <w:pPr>
        <w:widowControl w:val="0"/>
        <w:spacing w:line="200" w:lineRule="exact"/>
        <w:rPr>
          <w:sz w:val="16"/>
          <w:szCs w:val="16"/>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22"/>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keepLines/>
        <w:shd w:val="clear" w:color="auto" w:fill="auto"/>
        <w:bidi w:val="0"/>
        <w:spacing w:before="0" w:after="114"/>
        <w:ind w:left="0" w:right="0" w:firstLine="0"/>
      </w:pPr>
      <w:bookmarkStart w:id="0" w:name="bookmark0"/>
      <w:r>
        <w:rPr>
          <w:lang w:val="ru-RU" w:eastAsia="ru-RU" w:bidi="ru-RU"/>
          <w:sz w:val="24"/>
          <w:szCs w:val="24"/>
          <w:w w:val="100"/>
          <w:spacing w:val="0"/>
          <w:color w:val="000000"/>
          <w:position w:val="0"/>
        </w:rPr>
        <w:t>УПРАВЛЕНИЕ Федеральной антимонопольной службы по Свердловской области</w:t>
      </w:r>
      <w:bookmarkEnd w:id="0"/>
    </w:p>
    <w:p>
      <w:pPr>
        <w:pStyle w:val="Style7"/>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ул. Московская, 11, г. Екатеринбург, 620014 тел. (343) 377-00-83, факс (343) 377-00-84 </w:t>
      </w:r>
      <w:r>
        <w:rPr>
          <w:lang w:val="en-US" w:eastAsia="en-US" w:bidi="en-US"/>
          <w:w w:val="100"/>
          <w:spacing w:val="0"/>
          <w:color w:val="000000"/>
          <w:position w:val="0"/>
        </w:rPr>
        <w:t xml:space="preserve">e-mail: </w:t>
      </w:r>
      <w:r>
        <w:fldChar w:fldCharType="begin"/>
      </w:r>
      <w:r>
        <w:rPr>
          <w:rStyle w:val="CharStyle9"/>
        </w:rPr>
        <w:instrText> HYPERLINK "mailto:to66@faS.gOV.ru" </w:instrText>
      </w:r>
      <w:r>
        <w:fldChar w:fldCharType="separate"/>
      </w:r>
      <w:r>
        <w:rPr>
          <w:rStyle w:val="Hyperlink"/>
          <w:b/>
          <w:bCs/>
        </w:rPr>
        <w:t>to66@faS.gOV.ru</w:t>
      </w:r>
      <w:r>
        <w:fldChar w:fldCharType="end"/>
      </w:r>
    </w:p>
    <w:p>
      <w:pPr>
        <w:pStyle w:val="Style10"/>
        <w:widowControl w:val="0"/>
        <w:keepNext w:val="0"/>
        <w:keepLines w:val="0"/>
        <w:shd w:val="clear" w:color="auto" w:fill="auto"/>
        <w:bidi w:val="0"/>
        <w:spacing w:before="0" w:after="0"/>
        <w:ind w:left="0" w:right="0" w:firstLine="0"/>
        <w:sectPr>
          <w:type w:val="continuous"/>
          <w:pgSz w:w="11906" w:h="16838"/>
          <w:pgMar w:top="879" w:left="1153" w:right="1916" w:bottom="903" w:header="0" w:footer="3" w:gutter="0"/>
          <w:rtlGutter w:val="0"/>
          <w:cols w:num="2" w:space="720" w:equalWidth="0">
            <w:col w:w="4747" w:space="1363"/>
            <w:col w:w="2726"/>
          </w:cols>
          <w:noEndnote/>
          <w:docGrid w:linePitch="360"/>
        </w:sectPr>
      </w:pPr>
      <w:r>
        <w:rPr>
          <w:rStyle w:val="CharStyle12"/>
          <w:b w:val="0"/>
          <w:bCs w:val="0"/>
        </w:rPr>
        <w:t xml:space="preserve">ООО «ХОЗ-БЛОК» </w:t>
      </w:r>
      <w:r>
        <w:rPr>
          <w:w w:val="100"/>
          <w:spacing w:val="0"/>
          <w:color w:val="000000"/>
          <w:position w:val="0"/>
        </w:rPr>
        <w:t xml:space="preserve">E-mail: </w:t>
      </w:r>
      <w:r>
        <w:fldChar w:fldCharType="begin"/>
      </w:r>
      <w:r>
        <w:rPr>
          <w:color w:val="000000"/>
        </w:rPr>
        <w:instrText> HYPERLINK "mailto:hoz-block@inbox.ru" </w:instrText>
      </w:r>
      <w:r>
        <w:fldChar w:fldCharType="separate"/>
      </w:r>
      <w:r>
        <w:rPr>
          <w:rStyle w:val="Hyperlink"/>
          <w:w w:val="100"/>
          <w:spacing w:val="0"/>
          <w:position w:val="0"/>
        </w:rPr>
        <w:t>hoz-block@inbox.ru</w:t>
      </w:r>
      <w:r>
        <w:fldChar w:fldCharType="end"/>
      </w:r>
    </w:p>
    <w:p>
      <w:pPr>
        <w:widowControl w:val="0"/>
        <w:spacing w:before="14" w:after="1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3"/>
        <w:widowControl w:val="0"/>
        <w:keepNext w:val="0"/>
        <w:keepLines w:val="0"/>
        <w:shd w:val="clear" w:color="auto" w:fill="auto"/>
        <w:bidi w:val="0"/>
        <w:jc w:val="left"/>
        <w:spacing w:before="0" w:after="480" w:line="180" w:lineRule="exact"/>
        <w:ind w:left="1860" w:right="0" w:firstLine="0"/>
      </w:pPr>
      <w:r>
        <w:rPr>
          <w:lang w:val="ru-RU" w:eastAsia="ru-RU" w:bidi="ru-RU"/>
          <w:w w:val="100"/>
          <w:spacing w:val="0"/>
          <w:color w:val="000000"/>
          <w:position w:val="0"/>
        </w:rPr>
        <w:t>№</w:t>
      </w:r>
    </w:p>
    <w:p>
      <w:pPr>
        <w:pStyle w:val="Style15"/>
        <w:widowControl w:val="0"/>
        <w:keepNext w:val="0"/>
        <w:keepLines w:val="0"/>
        <w:shd w:val="clear" w:color="auto" w:fill="auto"/>
        <w:bidi w:val="0"/>
        <w:jc w:val="left"/>
        <w:spacing w:before="0" w:after="261" w:line="240" w:lineRule="exact"/>
        <w:ind w:left="20" w:right="0" w:firstLine="0"/>
      </w:pPr>
      <w:r>
        <w:rPr>
          <w:lang w:val="ru-RU" w:eastAsia="ru-RU" w:bidi="ru-RU"/>
          <w:sz w:val="24"/>
          <w:szCs w:val="24"/>
          <w:w w:val="100"/>
          <w:spacing w:val="0"/>
          <w:color w:val="000000"/>
          <w:position w:val="0"/>
        </w:rPr>
        <w:t>О возврате жалобы</w:t>
      </w:r>
    </w:p>
    <w:p>
      <w:pPr>
        <w:pStyle w:val="Style15"/>
        <w:widowControl w:val="0"/>
        <w:keepNext w:val="0"/>
        <w:keepLines w:val="0"/>
        <w:shd w:val="clear" w:color="auto" w:fill="auto"/>
        <w:bidi w:val="0"/>
        <w:jc w:val="both"/>
        <w:spacing w:before="0" w:after="0" w:line="274" w:lineRule="exact"/>
        <w:ind w:left="20" w:right="20" w:firstLine="720"/>
      </w:pPr>
      <w:r>
        <w:rPr>
          <w:lang w:val="ru-RU" w:eastAsia="ru-RU" w:bidi="ru-RU"/>
          <w:sz w:val="24"/>
          <w:szCs w:val="24"/>
          <w:w w:val="100"/>
          <w:spacing w:val="0"/>
          <w:color w:val="000000"/>
          <w:position w:val="0"/>
        </w:rPr>
        <w:t>Управление Федеральной антимонопольной службы по Свердловской области, рассмотрев поступившую от Вас жалобу (вх. № 01-19638 от 15.07.2020) на действия (бездействие) заказчика в лице ГКУ СО "Управление административными зданиями Губернатора Свердловской области", его комиссии при осуществлении закупки путем проведения электронного аукциона на поставку алюминиевых стремянок (извещение № 0362200018620000208), возвращает ее по следующим основаниям:</w:t>
      </w:r>
    </w:p>
    <w:p>
      <w:pPr>
        <w:pStyle w:val="Style15"/>
        <w:widowControl w:val="0"/>
        <w:keepNext w:val="0"/>
        <w:keepLines w:val="0"/>
        <w:shd w:val="clear" w:color="auto" w:fill="auto"/>
        <w:bidi w:val="0"/>
        <w:jc w:val="both"/>
        <w:spacing w:before="0" w:after="0" w:line="274" w:lineRule="exact"/>
        <w:ind w:left="20" w:right="20" w:firstLine="720"/>
      </w:pPr>
      <w:r>
        <w:rPr>
          <w:lang w:val="ru-RU" w:eastAsia="ru-RU" w:bidi="ru-RU"/>
          <w:sz w:val="24"/>
          <w:szCs w:val="24"/>
          <w:w w:val="100"/>
          <w:spacing w:val="0"/>
          <w:color w:val="000000"/>
          <w:position w:val="0"/>
        </w:rPr>
        <w:t>В соответствии с пунктом 2 части 11 статьи 105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 Закона о контрактной системе) жалоба возвращается подавшему ее лицу без рассмотрения в случае, если жалоба не подписана или жалоба подписана лицом, полномочия которого не подтверждены документами.</w:t>
      </w:r>
    </w:p>
    <w:p>
      <w:pPr>
        <w:pStyle w:val="Style15"/>
        <w:widowControl w:val="0"/>
        <w:keepNext w:val="0"/>
        <w:keepLines w:val="0"/>
        <w:shd w:val="clear" w:color="auto" w:fill="auto"/>
        <w:bidi w:val="0"/>
        <w:jc w:val="both"/>
        <w:spacing w:before="0" w:after="0" w:line="274" w:lineRule="exact"/>
        <w:ind w:left="20" w:right="20" w:firstLine="720"/>
      </w:pPr>
      <w:r>
        <w:rPr>
          <w:lang w:val="ru-RU" w:eastAsia="ru-RU" w:bidi="ru-RU"/>
          <w:sz w:val="24"/>
          <w:szCs w:val="24"/>
          <w:w w:val="100"/>
          <w:spacing w:val="0"/>
          <w:color w:val="000000"/>
          <w:position w:val="0"/>
        </w:rPr>
        <w:t>В соответствии со статьей 6 Федерального закона № 63-ФЗ «Об электронной подписи» от 06.04.2011 г. устанавливаются следующие условия признания электронных документов, подписанных электронной подписью, равнозначными документам на бумажном носителе, подписанным собственноручной подписью:</w:t>
      </w:r>
    </w:p>
    <w:p>
      <w:pPr>
        <w:pStyle w:val="Style15"/>
        <w:numPr>
          <w:ilvl w:val="0"/>
          <w:numId w:val="1"/>
        </w:numPr>
        <w:widowControl w:val="0"/>
        <w:keepNext w:val="0"/>
        <w:keepLines w:val="0"/>
        <w:shd w:val="clear" w:color="auto" w:fill="auto"/>
        <w:bidi w:val="0"/>
        <w:jc w:val="both"/>
        <w:spacing w:before="0" w:after="0" w:line="274" w:lineRule="exact"/>
        <w:ind w:left="20" w:right="20" w:firstLine="720"/>
      </w:pPr>
      <w:r>
        <w:rPr>
          <w:lang w:val="ru-RU" w:eastAsia="ru-RU" w:bidi="ru-RU"/>
          <w:sz w:val="24"/>
          <w:szCs w:val="24"/>
          <w:w w:val="100"/>
          <w:spacing w:val="0"/>
          <w:color w:val="000000"/>
          <w:position w:val="0"/>
        </w:rPr>
        <w:t xml:space="preserve"> Информация 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 кроме случая,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w:t>
      </w:r>
    </w:p>
    <w:p>
      <w:pPr>
        <w:pStyle w:val="Style15"/>
        <w:numPr>
          <w:ilvl w:val="0"/>
          <w:numId w:val="1"/>
        </w:numPr>
        <w:widowControl w:val="0"/>
        <w:keepNext w:val="0"/>
        <w:keepLines w:val="0"/>
        <w:shd w:val="clear" w:color="auto" w:fill="auto"/>
        <w:bidi w:val="0"/>
        <w:jc w:val="both"/>
        <w:spacing w:before="0" w:after="0" w:line="274" w:lineRule="exact"/>
        <w:ind w:left="20" w:right="20" w:firstLine="720"/>
      </w:pPr>
      <w:r>
        <w:rPr>
          <w:lang w:val="ru-RU" w:eastAsia="ru-RU" w:bidi="ru-RU"/>
          <w:sz w:val="24"/>
          <w:szCs w:val="24"/>
          <w:w w:val="100"/>
          <w:spacing w:val="0"/>
          <w:color w:val="000000"/>
          <w:position w:val="0"/>
        </w:rPr>
        <w:t xml:space="preserve"> Информация в электронной форме, подписанная простой электронной подписью или неквалифицированной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 в случаях, установленных федеральными законами, принимаемыми в соответствии с ними нормативными правовыми актами или соглашением между участниками электронного взаимодействия. Нормативные правовые акты и соглашения между участниками электронного взаимодействия, устанавливающие случаи признания электронных документов, подписанных неквалифицированной электронной подписью, равнозначными документам на бумажных носителях, подписанным собственноручной подписью, должны предусматривать порядок проверки электронной подписи. Нормативные правовые акты и соглашения между участниками электронного взаимодействия,</w:t>
        <w:br w:type="page"/>
        <w:t>устанавливающие случаи признания электронных документов, подписанных простой электронной подписью, равнозначными документам на бумажных носителях, подписанным собственноручной подписью, должны соответствовать требованиям статьи 9 настоящего Федерального закона.</w:t>
      </w:r>
    </w:p>
    <w:p>
      <w:pPr>
        <w:pStyle w:val="Style15"/>
        <w:numPr>
          <w:ilvl w:val="0"/>
          <w:numId w:val="1"/>
        </w:numPr>
        <w:widowControl w:val="0"/>
        <w:keepNext w:val="0"/>
        <w:keepLines w:val="0"/>
        <w:shd w:val="clear" w:color="auto" w:fill="auto"/>
        <w:bidi w:val="0"/>
        <w:jc w:val="both"/>
        <w:spacing w:before="0" w:after="0" w:line="274" w:lineRule="exact"/>
        <w:ind w:left="20" w:right="20" w:firstLine="700"/>
      </w:pPr>
      <w:r>
        <w:rPr>
          <w:lang w:val="ru-RU" w:eastAsia="ru-RU" w:bidi="ru-RU"/>
          <w:sz w:val="24"/>
          <w:szCs w:val="24"/>
          <w:w w:val="100"/>
          <w:spacing w:val="0"/>
          <w:color w:val="000000"/>
          <w:position w:val="0"/>
        </w:rPr>
        <w:t xml:space="preserve"> Если в соответствии с федеральными законами, принимаемыми в соответствии с ними нормативными правовыми актами или обычаем делового оборота документ должен быть заверен печатью, электронный документ, подписанный усиленной электронной подписью и признаваемый равнозначным документу на бумажном носителе, подписанному собственноручной подписью, признается равнозначным документу на бумажном носителе, подписанному собственноручной подписью и заверенному печатью. Федеральными законами, принимаемыми в соответствии с ними нормативными правовыми актами или соглашением между участниками электронного взаимодействия, могут быть предусмотрены дополнительные требования к электронному документу в целях признания его равнозначным документу на бумажном носителе, заверенному печатью.</w:t>
      </w:r>
    </w:p>
    <w:p>
      <w:pPr>
        <w:pStyle w:val="Style15"/>
        <w:numPr>
          <w:ilvl w:val="0"/>
          <w:numId w:val="1"/>
        </w:numPr>
        <w:widowControl w:val="0"/>
        <w:keepNext w:val="0"/>
        <w:keepLines w:val="0"/>
        <w:shd w:val="clear" w:color="auto" w:fill="auto"/>
        <w:bidi w:val="0"/>
        <w:jc w:val="both"/>
        <w:spacing w:before="0" w:after="0" w:line="274" w:lineRule="exact"/>
        <w:ind w:left="20" w:right="20" w:firstLine="700"/>
      </w:pPr>
      <w:r>
        <w:rPr>
          <w:lang w:val="ru-RU" w:eastAsia="ru-RU" w:bidi="ru-RU"/>
          <w:sz w:val="24"/>
          <w:szCs w:val="24"/>
          <w:w w:val="100"/>
          <w:spacing w:val="0"/>
          <w:color w:val="000000"/>
          <w:position w:val="0"/>
        </w:rPr>
        <w:t xml:space="preserve"> Одной электронной подписью могут быть подписаны несколько связанных между собой электронных документов (пакет электронных документов). При подписании электронной подписью пакета электронных документов каждый из электронных документов, входящих в этот пакет, считается подписанным электронной подписью того вида, которой подписан пакет электронных документов.</w:t>
      </w:r>
    </w:p>
    <w:p>
      <w:pPr>
        <w:pStyle w:val="Style15"/>
        <w:widowControl w:val="0"/>
        <w:keepNext w:val="0"/>
        <w:keepLines w:val="0"/>
        <w:shd w:val="clear" w:color="auto" w:fill="auto"/>
        <w:bidi w:val="0"/>
        <w:jc w:val="both"/>
        <w:spacing w:before="0" w:after="0" w:line="274" w:lineRule="exact"/>
        <w:ind w:left="20" w:right="20" w:firstLine="700"/>
      </w:pPr>
      <w:r>
        <w:rPr>
          <w:lang w:val="ru-RU" w:eastAsia="ru-RU" w:bidi="ru-RU"/>
          <w:sz w:val="24"/>
          <w:szCs w:val="24"/>
          <w:w w:val="100"/>
          <w:spacing w:val="0"/>
          <w:color w:val="000000"/>
          <w:position w:val="0"/>
        </w:rPr>
        <w:t>Жалоба подана на действия заказчика, его комиссии при осуществлении закупки путем проведения электронного аукциона и направлена по электронной почте, при этом поданная жалоба не содержала ни квалифицированную, ни простую, ни неквалифицированную электронную подпись.</w:t>
      </w:r>
    </w:p>
    <w:p>
      <w:pPr>
        <w:pStyle w:val="Style15"/>
        <w:widowControl w:val="0"/>
        <w:keepNext w:val="0"/>
        <w:keepLines w:val="0"/>
        <w:shd w:val="clear" w:color="auto" w:fill="auto"/>
        <w:bidi w:val="0"/>
        <w:jc w:val="both"/>
        <w:spacing w:before="0" w:after="0" w:line="274" w:lineRule="exact"/>
        <w:ind w:left="20" w:right="20" w:firstLine="700"/>
      </w:pPr>
      <w:r>
        <w:rPr>
          <w:lang w:val="ru-RU" w:eastAsia="ru-RU" w:bidi="ru-RU"/>
          <w:sz w:val="24"/>
          <w:szCs w:val="24"/>
          <w:w w:val="100"/>
          <w:spacing w:val="0"/>
          <w:color w:val="000000"/>
          <w:position w:val="0"/>
        </w:rPr>
        <w:t>В соответствии с п. 1 ч. 8 ст. 105 Закона о контрактной системе 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(далее также - жалоба) должна содержать наименование, фирменное наименование (при наличии), место нахождения (для юридического лица), фамилию, имя, отчество (при наличии), место жительства (для физического лица), почтовый адрес, номер контактного телефона лица, действия (бездействие) которого обжалуются (при наличии такой информации).</w:t>
      </w:r>
    </w:p>
    <w:p>
      <w:pPr>
        <w:pStyle w:val="Style15"/>
        <w:widowControl w:val="0"/>
        <w:keepNext w:val="0"/>
        <w:keepLines w:val="0"/>
        <w:shd w:val="clear" w:color="auto" w:fill="auto"/>
        <w:bidi w:val="0"/>
        <w:jc w:val="both"/>
        <w:spacing w:before="0" w:after="0" w:line="274" w:lineRule="exact"/>
        <w:ind w:left="20" w:right="20" w:firstLine="700"/>
      </w:pPr>
      <w:r>
        <w:rPr>
          <w:lang w:val="ru-RU" w:eastAsia="ru-RU" w:bidi="ru-RU"/>
          <w:sz w:val="24"/>
          <w:szCs w:val="24"/>
          <w:w w:val="100"/>
          <w:spacing w:val="0"/>
          <w:color w:val="000000"/>
          <w:position w:val="0"/>
        </w:rPr>
        <w:t>В соответствии с п. 1 ч. 11 ст. 105 Закона о контрактной системе жалоба возвращается подавшему ее лицу без рассмотрения в случае, если жалоба не соответствует требованиям, установленным настоящей статьей.</w:t>
      </w:r>
    </w:p>
    <w:p>
      <w:pPr>
        <w:pStyle w:val="Style15"/>
        <w:widowControl w:val="0"/>
        <w:keepNext w:val="0"/>
        <w:keepLines w:val="0"/>
        <w:shd w:val="clear" w:color="auto" w:fill="auto"/>
        <w:bidi w:val="0"/>
        <w:jc w:val="both"/>
        <w:spacing w:before="0" w:after="0" w:line="274" w:lineRule="exact"/>
        <w:ind w:left="20" w:right="20" w:firstLine="700"/>
      </w:pPr>
      <w:r>
        <w:rPr>
          <w:lang w:val="ru-RU" w:eastAsia="ru-RU" w:bidi="ru-RU"/>
          <w:sz w:val="24"/>
          <w:szCs w:val="24"/>
          <w:w w:val="100"/>
          <w:spacing w:val="0"/>
          <w:color w:val="000000"/>
          <w:position w:val="0"/>
        </w:rPr>
        <w:t>Таким образом, в нарушение п. 1 ч. 8 ст. 105 Закона о контрактной системе жалоба ООО «ХОЗ-БЛОК» не содержит место нахождения, почтовый адрес, номер контактного телефона лица, действия (бездействие) которого обжалуются.</w:t>
      </w:r>
    </w:p>
    <w:p>
      <w:pPr>
        <w:pStyle w:val="Style15"/>
        <w:widowControl w:val="0"/>
        <w:keepNext w:val="0"/>
        <w:keepLines w:val="0"/>
        <w:shd w:val="clear" w:color="auto" w:fill="auto"/>
        <w:bidi w:val="0"/>
        <w:jc w:val="both"/>
        <w:spacing w:before="0" w:after="139" w:line="274" w:lineRule="exact"/>
        <w:ind w:left="20" w:right="20" w:firstLine="700"/>
      </w:pPr>
      <w:r>
        <w:rPr>
          <w:lang w:val="ru-RU" w:eastAsia="ru-RU" w:bidi="ru-RU"/>
          <w:sz w:val="24"/>
          <w:szCs w:val="24"/>
          <w:w w:val="100"/>
          <w:spacing w:val="0"/>
          <w:color w:val="000000"/>
          <w:position w:val="0"/>
        </w:rPr>
        <w:t>В связи с вышеизложенным жалоба подлежит возврату на основании п.п. 1,2 ч. 11 ст. 105 Закона о контрактной системе.</w:t>
      </w:r>
    </w:p>
    <w:p>
      <w:pPr>
        <w:pStyle w:val="Style15"/>
        <w:tabs>
          <w:tab w:leader="none" w:pos="6211" w:val="center"/>
          <w:tab w:leader="none" w:pos="6361" w:val="center"/>
        </w:tabs>
        <w:widowControl w:val="0"/>
        <w:keepNext w:val="0"/>
        <w:keepLines w:val="0"/>
        <w:shd w:val="clear" w:color="auto" w:fill="auto"/>
        <w:bidi w:val="0"/>
        <w:jc w:val="both"/>
        <w:spacing w:before="0" w:after="0" w:line="400" w:lineRule="exact"/>
        <w:ind w:left="20" w:right="0" w:firstLine="700"/>
        <w:sectPr>
          <w:type w:val="continuous"/>
          <w:pgSz w:w="11906" w:h="16838"/>
          <w:pgMar w:top="1235" w:left="1096" w:right="1079" w:bottom="1235" w:header="0" w:footer="3" w:gutter="0"/>
          <w:rtlGutter w:val="0"/>
          <w:cols w:space="720"/>
          <w:noEndnote/>
          <w:docGrid w:linePitch="360"/>
        </w:sectPr>
      </w:pPr>
      <w:r>
        <w:rPr>
          <w:lang w:val="ru-RU" w:eastAsia="ru-RU" w:bidi="ru-RU"/>
          <w:sz w:val="24"/>
          <w:szCs w:val="24"/>
          <w:w w:val="100"/>
          <w:spacing w:val="0"/>
          <w:color w:val="000000"/>
          <w:position w:val="0"/>
        </w:rPr>
        <w:t>Приложение: жалоба на 1 л. в 1 экз.</w:t>
        <w:tab/>
      </w:r>
      <w:r>
        <w:rPr>
          <w:rStyle w:val="CharStyle17"/>
        </w:rPr>
        <w:t>J</w:t>
      </w:r>
      <w:r>
        <w:rPr>
          <w:lang w:val="en-US" w:eastAsia="en-US" w:bidi="en-US"/>
          <w:sz w:val="24"/>
          <w:szCs w:val="24"/>
          <w:w w:val="100"/>
          <w:spacing w:val="0"/>
          <w:color w:val="000000"/>
          <w:position w:val="0"/>
        </w:rPr>
        <w:tab/>
        <w:t>j</w:t>
      </w:r>
    </w:p>
    <w:p>
      <w:pPr>
        <w:widowControl w:val="0"/>
        <w:spacing w:line="240" w:lineRule="exact"/>
        <w:rPr>
          <w:sz w:val="19"/>
          <w:szCs w:val="19"/>
        </w:rPr>
      </w:pPr>
    </w:p>
    <w:p>
      <w:pPr>
        <w:widowControl w:val="0"/>
        <w:spacing w:before="22" w:after="2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5"/>
        <w:framePr w:h="237" w:wrap="around" w:vAnchor="text" w:hAnchor="margin" w:x="7924" w:y="220"/>
        <w:widowControl w:val="0"/>
        <w:keepNext w:val="0"/>
        <w:keepLines w:val="0"/>
        <w:shd w:val="clear" w:color="auto" w:fill="auto"/>
        <w:bidi w:val="0"/>
        <w:jc w:val="left"/>
        <w:spacing w:before="0" w:after="0" w:line="230" w:lineRule="exact"/>
        <w:ind w:left="100" w:right="0" w:firstLine="0"/>
      </w:pPr>
      <w:r>
        <w:rPr>
          <w:rStyle w:val="CharStyle18"/>
          <w:spacing w:val="0"/>
        </w:rPr>
        <w:t>А.Е. Трофимов</w:t>
      </w:r>
    </w:p>
    <w:p>
      <w:pPr>
        <w:pStyle w:val="Style15"/>
        <w:widowControl w:val="0"/>
        <w:keepNext w:val="0"/>
        <w:keepLines w:val="0"/>
        <w:shd w:val="clear" w:color="auto" w:fill="auto"/>
        <w:bidi w:val="0"/>
        <w:jc w:val="both"/>
        <w:spacing w:before="0" w:after="1325" w:line="278" w:lineRule="exact"/>
        <w:ind w:left="0" w:right="220" w:firstLine="0"/>
      </w:pPr>
      <w:r>
        <w:rPr>
          <w:lang w:val="ru-RU" w:eastAsia="ru-RU" w:bidi="ru-RU"/>
          <w:sz w:val="24"/>
          <w:szCs w:val="24"/>
          <w:w w:val="100"/>
          <w:spacing w:val="0"/>
          <w:color w:val="000000"/>
          <w:position w:val="0"/>
        </w:rPr>
        <w:t>Заместитель руководителя управления - начальник отдела контроля закупок</w:t>
      </w:r>
    </w:p>
    <w:p>
      <w:pPr>
        <w:pStyle w:val="Style19"/>
        <w:widowControl w:val="0"/>
        <w:keepNext w:val="0"/>
        <w:keepLines w:val="0"/>
        <w:shd w:val="clear" w:color="auto" w:fill="auto"/>
        <w:bidi w:val="0"/>
        <w:jc w:val="left"/>
        <w:spacing w:before="0" w:after="0"/>
        <w:ind w:left="0" w:right="2160" w:firstLine="0"/>
      </w:pPr>
      <w:r>
        <w:rPr>
          <w:lang w:val="ru-RU" w:eastAsia="ru-RU" w:bidi="ru-RU"/>
          <w:w w:val="100"/>
          <w:color w:val="000000"/>
          <w:position w:val="0"/>
        </w:rPr>
        <w:t xml:space="preserve">Пашкевич Кристина Валерьевна </w:t>
      </w:r>
      <w:r>
        <w:rPr>
          <w:rStyle w:val="CharStyle21"/>
        </w:rPr>
        <w:t>(</w:t>
      </w:r>
      <w:r>
        <w:rPr>
          <w:rStyle w:val="CharStyle22"/>
        </w:rPr>
        <w:t>343</w:t>
      </w:r>
      <w:r>
        <w:rPr>
          <w:rStyle w:val="CharStyle21"/>
        </w:rPr>
        <w:t>)</w:t>
      </w:r>
      <w:r>
        <w:rPr>
          <w:rStyle w:val="CharStyle22"/>
        </w:rPr>
        <w:t>371</w:t>
      </w:r>
      <w:r>
        <w:rPr>
          <w:rStyle w:val="CharStyle21"/>
        </w:rPr>
        <w:t>-</w:t>
      </w:r>
      <w:r>
        <w:rPr>
          <w:rStyle w:val="CharStyle22"/>
        </w:rPr>
        <w:t>02-01</w:t>
      </w:r>
    </w:p>
    <w:sectPr>
      <w:type w:val="continuous"/>
      <w:pgSz w:w="11906" w:h="16838"/>
      <w:pgMar w:top="875" w:left="1093" w:right="6426" w:bottom="875"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2"/>
      <w:szCs w:val="22"/>
      <w:rFonts w:ascii="Times New Roman" w:eastAsia="Times New Roman" w:hAnsi="Times New Roman" w:cs="Times New Roman"/>
    </w:rPr>
  </w:style>
  <w:style w:type="character" w:customStyle="1" w:styleId="CharStyle6">
    <w:name w:val="Заголовок №1_"/>
    <w:basedOn w:val="DefaultParagraphFont"/>
    <w:link w:val="Style5"/>
    <w:rPr>
      <w:b/>
      <w:bCs/>
      <w:i w:val="0"/>
      <w:iCs w:val="0"/>
      <w:u w:val="none"/>
      <w:strike w:val="0"/>
      <w:smallCaps w:val="0"/>
      <w:rFonts w:ascii="Times New Roman" w:eastAsia="Times New Roman" w:hAnsi="Times New Roman" w:cs="Times New Roman"/>
    </w:rPr>
  </w:style>
  <w:style w:type="character" w:customStyle="1" w:styleId="CharStyle8">
    <w:name w:val="Основной текст (3)_"/>
    <w:basedOn w:val="DefaultParagraphFont"/>
    <w:link w:val="Style7"/>
    <w:rPr>
      <w:b/>
      <w:bCs/>
      <w:i w:val="0"/>
      <w:iCs w:val="0"/>
      <w:u w:val="none"/>
      <w:strike w:val="0"/>
      <w:smallCaps w:val="0"/>
      <w:sz w:val="16"/>
      <w:szCs w:val="16"/>
      <w:rFonts w:ascii="Times New Roman" w:eastAsia="Times New Roman" w:hAnsi="Times New Roman" w:cs="Times New Roman"/>
    </w:rPr>
  </w:style>
  <w:style w:type="character" w:customStyle="1" w:styleId="CharStyle9">
    <w:name w:val="Основной текст (3) + 10,5 pt"/>
    <w:basedOn w:val="CharStyle8"/>
    <w:rPr>
      <w:lang w:val="en-US" w:eastAsia="en-US" w:bidi="en-US"/>
      <w:u w:val="single"/>
      <w:sz w:val="21"/>
      <w:szCs w:val="21"/>
      <w:w w:val="100"/>
      <w:spacing w:val="0"/>
      <w:color w:val="000000"/>
      <w:position w:val="0"/>
    </w:rPr>
  </w:style>
  <w:style w:type="character" w:customStyle="1" w:styleId="CharStyle11">
    <w:name w:val="Основной текст (4)_"/>
    <w:basedOn w:val="DefaultParagraphFont"/>
    <w:link w:val="Style10"/>
    <w:rPr>
      <w:lang w:val="en-US" w:eastAsia="en-US" w:bidi="en-US"/>
      <w:b/>
      <w:bCs/>
      <w:i w:val="0"/>
      <w:iCs w:val="0"/>
      <w:u w:val="none"/>
      <w:strike w:val="0"/>
      <w:smallCaps w:val="0"/>
      <w:sz w:val="21"/>
      <w:szCs w:val="21"/>
      <w:rFonts w:ascii="Times New Roman" w:eastAsia="Times New Roman" w:hAnsi="Times New Roman" w:cs="Times New Roman"/>
    </w:rPr>
  </w:style>
  <w:style w:type="character" w:customStyle="1" w:styleId="CharStyle12">
    <w:name w:val="Основной текст (4) + 12 pt,Не полужирный"/>
    <w:basedOn w:val="CharStyle11"/>
    <w:rPr>
      <w:lang w:val="ru-RU" w:eastAsia="ru-RU" w:bidi="ru-RU"/>
      <w:b/>
      <w:bCs/>
      <w:sz w:val="24"/>
      <w:szCs w:val="24"/>
      <w:w w:val="100"/>
      <w:spacing w:val="0"/>
      <w:color w:val="000000"/>
      <w:position w:val="0"/>
    </w:rPr>
  </w:style>
  <w:style w:type="character" w:customStyle="1" w:styleId="CharStyle14">
    <w:name w:val="Основной текст (5)_"/>
    <w:basedOn w:val="DefaultParagraphFont"/>
    <w:link w:val="Style13"/>
    <w:rPr>
      <w:b w:val="0"/>
      <w:bCs w:val="0"/>
      <w:i w:val="0"/>
      <w:iCs w:val="0"/>
      <w:u w:val="none"/>
      <w:strike w:val="0"/>
      <w:smallCaps w:val="0"/>
      <w:sz w:val="18"/>
      <w:szCs w:val="18"/>
      <w:rFonts w:ascii="Corbel" w:eastAsia="Corbel" w:hAnsi="Corbel" w:cs="Corbel"/>
    </w:rPr>
  </w:style>
  <w:style w:type="character" w:customStyle="1" w:styleId="CharStyle16">
    <w:name w:val="Основной текст_"/>
    <w:basedOn w:val="DefaultParagraphFont"/>
    <w:link w:val="Style15"/>
    <w:rPr>
      <w:b w:val="0"/>
      <w:bCs w:val="0"/>
      <w:i w:val="0"/>
      <w:iCs w:val="0"/>
      <w:u w:val="none"/>
      <w:strike w:val="0"/>
      <w:smallCaps w:val="0"/>
      <w:rFonts w:ascii="Times New Roman" w:eastAsia="Times New Roman" w:hAnsi="Times New Roman" w:cs="Times New Roman"/>
    </w:rPr>
  </w:style>
  <w:style w:type="character" w:customStyle="1" w:styleId="CharStyle17">
    <w:name w:val="Основной текст + Impact,20 pt,Курсив"/>
    <w:basedOn w:val="CharStyle16"/>
    <w:rPr>
      <w:lang w:val="en-US" w:eastAsia="en-US" w:bidi="en-US"/>
      <w:i/>
      <w:iCs/>
      <w:sz w:val="40"/>
      <w:szCs w:val="40"/>
      <w:rFonts w:ascii="Impact" w:eastAsia="Impact" w:hAnsi="Impact" w:cs="Impact"/>
      <w:w w:val="100"/>
      <w:spacing w:val="0"/>
      <w:color w:val="000000"/>
      <w:position w:val="0"/>
    </w:rPr>
  </w:style>
  <w:style w:type="character" w:customStyle="1" w:styleId="CharStyle18">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2"/>
    </w:rPr>
  </w:style>
  <w:style w:type="character" w:customStyle="1" w:styleId="CharStyle20">
    <w:name w:val="Основной текст (6)_"/>
    <w:basedOn w:val="DefaultParagraphFont"/>
    <w:link w:val="Style19"/>
    <w:rPr>
      <w:b w:val="0"/>
      <w:bCs w:val="0"/>
      <w:i w:val="0"/>
      <w:iCs w:val="0"/>
      <w:u w:val="none"/>
      <w:strike w:val="0"/>
      <w:smallCaps w:val="0"/>
      <w:sz w:val="17"/>
      <w:szCs w:val="17"/>
      <w:rFonts w:ascii="Corbel" w:eastAsia="Corbel" w:hAnsi="Corbel" w:cs="Corbel"/>
      <w:spacing w:val="-10"/>
    </w:rPr>
  </w:style>
  <w:style w:type="character" w:customStyle="1" w:styleId="CharStyle21">
    <w:name w:val="Основной текст (6) + Times New Roman,7,5 pt,Полужирный,Интервал 0 pt"/>
    <w:basedOn w:val="CharStyle20"/>
    <w:rPr>
      <w:lang w:val="ru-RU" w:eastAsia="ru-RU" w:bidi="ru-RU"/>
      <w:b/>
      <w:bCs/>
      <w:sz w:val="15"/>
      <w:szCs w:val="15"/>
      <w:rFonts w:ascii="Times New Roman" w:eastAsia="Times New Roman" w:hAnsi="Times New Roman" w:cs="Times New Roman"/>
      <w:w w:val="100"/>
      <w:spacing w:val="0"/>
      <w:color w:val="000000"/>
      <w:position w:val="0"/>
    </w:rPr>
  </w:style>
  <w:style w:type="character" w:customStyle="1" w:styleId="CharStyle22">
    <w:name w:val="Основной текст (6) + Times New Roman,7,5 pt,Интервал 0 pt"/>
    <w:basedOn w:val="CharStyle20"/>
    <w:rPr>
      <w:lang w:val="ru-RU" w:eastAsia="ru-RU" w:bidi="ru-RU"/>
      <w:sz w:val="15"/>
      <w:szCs w:val="15"/>
      <w:rFonts w:ascii="Times New Roman" w:eastAsia="Times New Roman" w:hAnsi="Times New Roman" w:cs="Times New Roman"/>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60" w:line="250" w:lineRule="exact"/>
    </w:pPr>
    <w:rPr>
      <w:b/>
      <w:bCs/>
      <w:i w:val="0"/>
      <w:iCs w:val="0"/>
      <w:u w:val="none"/>
      <w:strike w:val="0"/>
      <w:smallCaps w:val="0"/>
      <w:sz w:val="22"/>
      <w:szCs w:val="22"/>
      <w:rFonts w:ascii="Times New Roman" w:eastAsia="Times New Roman" w:hAnsi="Times New Roman" w:cs="Times New Roman"/>
    </w:rPr>
  </w:style>
  <w:style w:type="paragraph" w:customStyle="1" w:styleId="Style5">
    <w:name w:val="Заголовок №1"/>
    <w:basedOn w:val="Normal"/>
    <w:link w:val="CharStyle6"/>
    <w:pPr>
      <w:widowControl w:val="0"/>
      <w:shd w:val="clear" w:color="auto" w:fill="FFFFFF"/>
      <w:jc w:val="center"/>
      <w:outlineLvl w:val="0"/>
      <w:spacing w:before="60" w:after="60" w:line="298" w:lineRule="exact"/>
    </w:pPr>
    <w:rPr>
      <w:b/>
      <w:bCs/>
      <w:i w:val="0"/>
      <w:iCs w:val="0"/>
      <w:u w:val="none"/>
      <w:strike w:val="0"/>
      <w:smallCaps w:val="0"/>
      <w:rFonts w:ascii="Times New Roman" w:eastAsia="Times New Roman" w:hAnsi="Times New Roman" w:cs="Times New Roman"/>
    </w:rPr>
  </w:style>
  <w:style w:type="paragraph" w:customStyle="1" w:styleId="Style7">
    <w:name w:val="Основной текст (3)"/>
    <w:basedOn w:val="Normal"/>
    <w:link w:val="CharStyle8"/>
    <w:pPr>
      <w:widowControl w:val="0"/>
      <w:shd w:val="clear" w:color="auto" w:fill="FFFFFF"/>
      <w:jc w:val="center"/>
      <w:spacing w:before="60" w:line="230" w:lineRule="exact"/>
    </w:pPr>
    <w:rPr>
      <w:b/>
      <w:bCs/>
      <w:i w:val="0"/>
      <w:iCs w:val="0"/>
      <w:u w:val="none"/>
      <w:strike w:val="0"/>
      <w:smallCaps w:val="0"/>
      <w:sz w:val="16"/>
      <w:szCs w:val="16"/>
      <w:rFonts w:ascii="Times New Roman" w:eastAsia="Times New Roman" w:hAnsi="Times New Roman" w:cs="Times New Roman"/>
    </w:rPr>
  </w:style>
  <w:style w:type="paragraph" w:customStyle="1" w:styleId="Style10">
    <w:name w:val="Основной текст (4)"/>
    <w:basedOn w:val="Normal"/>
    <w:link w:val="CharStyle11"/>
    <w:pPr>
      <w:widowControl w:val="0"/>
      <w:shd w:val="clear" w:color="auto" w:fill="FFFFFF"/>
      <w:jc w:val="center"/>
      <w:spacing w:line="274" w:lineRule="exact"/>
    </w:pPr>
    <w:rPr>
      <w:lang w:val="en-US" w:eastAsia="en-US" w:bidi="en-US"/>
      <w:b/>
      <w:bCs/>
      <w:i w:val="0"/>
      <w:iCs w:val="0"/>
      <w:u w:val="none"/>
      <w:strike w:val="0"/>
      <w:smallCaps w:val="0"/>
      <w:sz w:val="21"/>
      <w:szCs w:val="21"/>
      <w:rFonts w:ascii="Times New Roman" w:eastAsia="Times New Roman" w:hAnsi="Times New Roman" w:cs="Times New Roman"/>
    </w:rPr>
  </w:style>
  <w:style w:type="paragraph" w:customStyle="1" w:styleId="Style13">
    <w:name w:val="Основной текст (5)"/>
    <w:basedOn w:val="Normal"/>
    <w:link w:val="CharStyle14"/>
    <w:pPr>
      <w:widowControl w:val="0"/>
      <w:shd w:val="clear" w:color="auto" w:fill="FFFFFF"/>
      <w:spacing w:after="540" w:line="0" w:lineRule="exact"/>
    </w:pPr>
    <w:rPr>
      <w:b w:val="0"/>
      <w:bCs w:val="0"/>
      <w:i w:val="0"/>
      <w:iCs w:val="0"/>
      <w:u w:val="none"/>
      <w:strike w:val="0"/>
      <w:smallCaps w:val="0"/>
      <w:sz w:val="18"/>
      <w:szCs w:val="18"/>
      <w:rFonts w:ascii="Corbel" w:eastAsia="Corbel" w:hAnsi="Corbel" w:cs="Corbel"/>
    </w:rPr>
  </w:style>
  <w:style w:type="paragraph" w:customStyle="1" w:styleId="Style15">
    <w:name w:val="Основной текст"/>
    <w:basedOn w:val="Normal"/>
    <w:link w:val="CharStyle16"/>
    <w:pPr>
      <w:widowControl w:val="0"/>
      <w:shd w:val="clear" w:color="auto" w:fill="FFFFFF"/>
      <w:spacing w:before="540" w:after="360" w:line="0" w:lineRule="exact"/>
    </w:pPr>
    <w:rPr>
      <w:b w:val="0"/>
      <w:bCs w:val="0"/>
      <w:i w:val="0"/>
      <w:iCs w:val="0"/>
      <w:u w:val="none"/>
      <w:strike w:val="0"/>
      <w:smallCaps w:val="0"/>
      <w:rFonts w:ascii="Times New Roman" w:eastAsia="Times New Roman" w:hAnsi="Times New Roman" w:cs="Times New Roman"/>
    </w:rPr>
  </w:style>
  <w:style w:type="paragraph" w:customStyle="1" w:styleId="Style19">
    <w:name w:val="Основной текст (6)"/>
    <w:basedOn w:val="Normal"/>
    <w:link w:val="CharStyle20"/>
    <w:pPr>
      <w:widowControl w:val="0"/>
      <w:shd w:val="clear" w:color="auto" w:fill="FFFFFF"/>
      <w:spacing w:before="1260" w:line="197" w:lineRule="exact"/>
    </w:pPr>
    <w:rPr>
      <w:b w:val="0"/>
      <w:bCs w:val="0"/>
      <w:i w:val="0"/>
      <w:iCs w:val="0"/>
      <w:u w:val="none"/>
      <w:strike w:val="0"/>
      <w:smallCaps w:val="0"/>
      <w:sz w:val="17"/>
      <w:szCs w:val="17"/>
      <w:rFonts w:ascii="Corbel" w:eastAsia="Corbel" w:hAnsi="Corbel" w:cs="Corbel"/>
      <w:spacing w:val="-1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