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40" w:wrap="around" w:vAnchor="text" w:hAnchor="margin" w:x="514" w:y="354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"/>
          <w:i/>
          <w:iCs/>
          <w:spacing w:val="-20"/>
        </w:rPr>
        <w:t>ос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22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1600"/>
      </w:pPr>
      <w:r>
        <w:rPr>
          <w:rStyle w:val="CharStyle11"/>
          <w:b/>
          <w:bCs/>
        </w:rPr>
        <w:t>УПРАВЛЕНИЕ Федеральной антимонопольной службы по Ярославской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54"/>
        <w:ind w:left="0" w:right="220" w:firstLine="0"/>
      </w:pPr>
      <w:r>
        <w:rPr>
          <w:rStyle w:val="CharStyle14"/>
        </w:rPr>
        <w:t xml:space="preserve">Свободы ул., д. 46, г. Ярославль, 150999 тел. (4852) 72-95-20, факс (4852) 32-93-71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to76@fas.gov.ru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0" w:right="0" w:firstLine="0"/>
      </w:pPr>
      <w:bookmarkStart w:id="0" w:name="bookmark0"/>
      <w:r>
        <w:rPr>
          <w:rStyle w:val="CharStyle17"/>
          <w:lang w:val="ru-RU" w:eastAsia="ru-RU" w:bidi="ru-RU"/>
          <w:i/>
          <w:iCs/>
        </w:rPr>
        <w:t xml:space="preserve">и. </w:t>
      </w:r>
      <w:r>
        <w:rPr>
          <w:rStyle w:val="CharStyle17"/>
          <w:i/>
          <w:iCs/>
        </w:rPr>
        <w:t>07.MW</w:t>
      </w:r>
      <w:r>
        <w:rPr>
          <w:rStyle w:val="CharStyle18"/>
          <w:i w:val="0"/>
          <w:iCs w:val="0"/>
        </w:rPr>
        <w:t xml:space="preserve">№ </w:t>
      </w:r>
      <w:r>
        <w:rPr>
          <w:rStyle w:val="CharStyle17"/>
          <w:i/>
          <w:iCs/>
        </w:rPr>
        <w:t>MS-y/as'-OJL</w:t>
      </w:r>
      <w:bookmarkEnd w:id="0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3360" w:right="0" w:firstLine="0"/>
      </w:pPr>
      <w:r>
        <w:rPr>
          <w:rStyle w:val="CharStyle21"/>
          <w:i/>
          <w:iCs/>
        </w:rPr>
        <w:t>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«ФЬЮЧЕР ИН»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" w:left="757" w:right="818" w:bottom="190" w:header="0" w:footer="3" w:gutter="0"/>
          <w:rtlGutter w:val="0"/>
          <w:cols w:num="2" w:space="720" w:equalWidth="0">
            <w:col w:w="4727" w:space="1422"/>
            <w:col w:w="4183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42111, г. Казань, ул. Право-Булочная, 13 лит, А6, оф. 210.2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"mailto:info@futureinapps.com"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info@futureinapps.com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"mailto:ceo@futureinapps.com"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ceo@futureinapps.com</w:t>
      </w:r>
      <w:r>
        <w:fldChar w:fldCharType="end"/>
      </w:r>
    </w:p>
    <w:p>
      <w:pPr>
        <w:widowControl w:val="0"/>
        <w:spacing w:line="114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160" w:wrap="around" w:vAnchor="text" w:hAnchor="margin" w:x="1731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5"/>
          <w:spacing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176" w:left="1289" w:right="9868" w:bottom="205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  <w:b/>
          <w:bCs/>
        </w:rPr>
        <w:t>На№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22"/>
        <w:numPr>
          <w:ilvl w:val="0"/>
          <w:numId w:val="1"/>
        </w:numPr>
        <w:tabs>
          <w:tab w:leader="none" w:pos="21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Ярославской области (далее - Ярославское У ФАС России) поступила жалоба ООО «ФЬЮЧЕР ИН» (далее также - заявитель) на действия заказчика - Департамента туризма Ярославской области, при проведении запроса котировок в электронной форме на право заключения государственного контракта на оказание услуг по разработке и поддержке проекта «электронная карта лояльности «Карта гостя Ярославии» (извещение № 0171200003220000006) (вх. от 20.07.2020 № 7834) (далее - жалоба).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участник закупки </w:t>
      </w:r>
      <w:r>
        <w:rPr>
          <w:rStyle w:val="CharStyle27"/>
        </w:rPr>
        <w:t>подает жалобу в письменной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форме.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11 статьи 105 Федерального закона от 05.04.2013 № 44-ФЗ жалоба возвращается подавшему ее лицу без рассмотрения в случае, если: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20"/>
      </w:pPr>
      <w:r>
        <w:rPr>
          <w:rStyle w:val="CharStyle27"/>
        </w:rPr>
        <w:t xml:space="preserve"> жалоба не соответствует требованиям, установленным настоящей статьей;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rStyle w:val="CharStyle27"/>
        </w:rPr>
        <w:t xml:space="preserve"> жалоба не подписана или жалоба подписана лицом, полномочия которого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не подтверждены документами;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20"/>
      </w:pPr>
      <w:r>
        <w:rPr>
          <w:rStyle w:val="CharStyle27"/>
        </w:rPr>
        <w:t xml:space="preserve"> жалоба подана по истечении срока, предусмотренного настоящей статьей;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жалобе на те же действия (бездействие) принято решение суда или контрольного органа в сфере закупок;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жалоба подана участником закупки, информация о котором,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такого участника закупки - юридического лица, включена в соответствии с настоящим Федеральным законом в реестр недобросовестных поставщиков (подрядчиков, исполнителей) в случае установления заказчиком требования в соответствии с частью 1.1 статьи 31 настоящего Федерального закона.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824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3620" w:right="0" w:firstLine="0"/>
      </w:pPr>
      <w:bookmarkStart w:id="1" w:name="bookmark1"/>
      <w:r>
        <w:rPr>
          <w:rStyle w:val="CharStyle30"/>
        </w:rPr>
        <w:t>006462</w:t>
      </w:r>
      <w:bookmarkEnd w:id="1"/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иной подтверждающий его полномочия на подписание жалобы документ (часть 10 статьи 105 Федерального закона от 05.04.2013 № 44-ФЗ).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статьи 2 Федерального закона от 06.04.2011 № 63-ФЗ «Об электронной подписи» электронная подпись -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1 статьи 5 Федерального закона от 05.04.2013 № 44-ФЗ в рамках отношений, указанных в части 1 статьи 1 Федерального закона от 05.04.2013 № 44- ФЗ, допускается обмен электронными документами, предусмотренными законодательством Российской Федерации и иными нормативными правовыми актами о контрактной системе в сфере закупок, между участниками контрактной системы в сфере закупок, в том числе подача заявок на участие в определении поставщика (подрядчика, исполнителя), окончательных предложений.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из приведенных норм действующего законодательства следует, что жалоба, поданная в форме электронного документа без использования действующей электронной подписи, не соответствует требованиям Федерального закона от 05.04.2013 № 44-ФЗ.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«ФЬЮЧЕР ИН» подана в Ярославское У ФАС России посредством заполнения формы обращения на официальном сайте ФАС России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"https://fas.gov.ru/approaches/new"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https://fas.gov.ru/approaches/new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 формате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.pdf),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установлено, что данная жалоба не содержит электронной подписи заявителя.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Кроме того, согласно части 4 статьи 105 Федерального закона от 05.04.2013 № 44-ФЗ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 в случае, если данные действия (бездействие) совершены при проведении электронной процедуры, закрытой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форме, закрытого конкурса в электронной форме, конкурса с ограниченным участием в электронной форме, закрытого конкурса с ограниченным участием в электронной форме, двухэтапного конкурса в электронной форме, закрытого двухэтапного конкурса в электронной форме, электронного аукциона, закрытого аукциона в электронной форме, протокола рассмотрения и оценки заявок на участие в запросе котировок в электронной форме,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протокола рассмотрения заявки единственного участника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участием, двухэтапном конкурсе в электронной форме, закрытом двухэтапном конкурсе в электронной форме, в электронном аукционе, закрытом аукционе в электронной форме при признании соответствующей электронной процедуры или закрытой электронной процедуры несостоявшейся.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В случае, если обжалуемые действия (бездействие) совершены при рассмотрении вторых частей заявок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при рассмотрении заявок на участие в запросе котировок в электронной форме, запросе предложений в электронной форме или при заключении контракта, обжалование данных действий (бездействия) осуществляется до заключения контракта. </w:t>
      </w:r>
      <w:r>
        <w:rPr>
          <w:rStyle w:val="CharStyle27"/>
        </w:rPr>
        <w:t>По истечении указанных сроков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обжалование данных действий (бездействия) заказчика, уполномоченного органа,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уполномоченного учреждения, специализированной организации, оператор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 </w:t>
      </w:r>
      <w:r>
        <w:rPr>
          <w:rStyle w:val="CharStyle27"/>
        </w:rPr>
        <w:t>электронной площадки, оператора специализированной электронной площадки,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комиссии по осуществлению закупок осуществляется только в судебном порядке.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заявитель указывает на нарушение заказчиком части 2 статьи 33 Федерального закона от 05.04.2013 № 44-ФЗ при описании в документации о закупке объекта закупки, а именно, по мнению заявителя, заказчик использовал некорректную терминологию, касающуюся технических и функциональных характеристик объекта закупки, а также на неправомерные действия заказчика по одностороннему отказу от исполнения контракта, то есть фактически обжалует положения аукционной документации и действия, совершенные заказчиком после заключения государственного контракта.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«ФЬЮЧЕР ИН» подана в Ярославское У ФАС России посредством заполнения формы обращения на официальном сайте ФАС России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"https://fas.goy.ru/approaches/new"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https://fas.goy.ru/approaches/new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 формате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.pdf)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20.07.2020 04:59 РМ.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извещению о проведении запроса котировок в электронной форме на право заключения государственного контракта на оказание услуг по разработке и поддержке проекта «электронная карта лояльности «Карта гостя Ярославии» (извещение № 0171200003220000006) датой и временем окончания срока подачи заявок на участие в электронном запросе котировок является </w:t>
      </w:r>
      <w:r>
        <w:rPr>
          <w:rStyle w:val="CharStyle27"/>
        </w:rPr>
        <w:t>03.06.2020 в 14:39.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информацией, размещенной заказчиком в единой информационной системе закупок (ЕИС) победителем обжалуемой закупки признано ООО «ФЬЮЧЕР ИН» (протокол рассмотрения и оценки заявок на участие в запросе котировок в электронной форме 0171200003220000006 от 03.06.2020).</w:t>
      </w:r>
    </w:p>
    <w:p>
      <w:pPr>
        <w:pStyle w:val="Style22"/>
        <w:numPr>
          <w:ilvl w:val="0"/>
          <w:numId w:val="5"/>
        </w:numPr>
        <w:tabs>
          <w:tab w:leader="none" w:pos="20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итогам рассматриваемой закупки между ООО «ФЬЮЧЕР ИН» и заказником заключен государственный контракт № 13/20 на оказание услуг по разработке и поддержке проекта «электронная карта лояльности «Карта гостя Ярославии»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жалоба ООО «ФЬЮЧЕР ИН» подана с нарушением сроков, установленных частью 4 статьи 105 Федерального закона от 05.04.2013 №44-ФЗ.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учитывая вышеизложенное, Ярославским У ФАС России принято решение о возврате поданной жалобы заявителю без рассмотрения на основании пунктов 1, 2 и 3 части 11 статьи 105 Федерального закона от 05.04.2013 № 44-ФЗ.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  <w:sectPr>
          <w:type w:val="continuous"/>
          <w:pgSz w:w="11906" w:h="16838"/>
          <w:pgMar w:top="688" w:left="762" w:right="762" w:bottom="476" w:header="0" w:footer="3" w:gutter="979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 (часть 14 статьи 105 Федерального закона от 05.04.2013 № 44-ФЗ).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framePr w:h="230" w:wrap="around" w:hAnchor="margin" w:x="7673" w:y="717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31"/>
          <w:spacing w:val="0"/>
        </w:rPr>
        <w:t>С.Н. Лебедева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651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Савичева Ксения Александровна Тел.: 8 (4852) 72-58-29</w:t>
      </w:r>
    </w:p>
    <w:sectPr>
      <w:type w:val="continuous"/>
      <w:pgSz w:w="11906" w:h="16838"/>
      <w:pgMar w:top="1090" w:left="1262" w:right="6000" w:bottom="5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0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11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/>
      <w:iCs/>
      <w:u w:val="none"/>
      <w:strike w:val="0"/>
      <w:smallCaps w:val="0"/>
      <w:sz w:val="14"/>
      <w:szCs w:val="14"/>
      <w:rFonts w:ascii="Tahoma" w:eastAsia="Tahoma" w:hAnsi="Tahoma" w:cs="Tahoma"/>
      <w:spacing w:val="-19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ahoma" w:eastAsia="Tahoma" w:hAnsi="Tahoma" w:cs="Tahoma"/>
      <w:spacing w:val="-50"/>
    </w:rPr>
  </w:style>
  <w:style w:type="character" w:customStyle="1" w:styleId="CharStyle17">
    <w:name w:val="Заголовок №1"/>
    <w:basedOn w:val="CharStyle16"/>
    <w:rPr>
      <w:w w:val="100"/>
      <w:color w:val="000000"/>
      <w:position w:val="0"/>
    </w:rPr>
  </w:style>
  <w:style w:type="character" w:customStyle="1" w:styleId="CharStyle18">
    <w:name w:val="Заголовок №1 + Times New Roman,11 pt,Не курсив,Интервал 0 pt"/>
    <w:basedOn w:val="CharStyle16"/>
    <w:rPr>
      <w:lang w:val="ru-RU" w:eastAsia="ru-RU" w:bidi="ru-RU"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/>
      <w:iCs/>
      <w:u w:val="none"/>
      <w:strike w:val="0"/>
      <w:smallCaps w:val="0"/>
      <w:sz w:val="30"/>
      <w:szCs w:val="30"/>
      <w:rFonts w:ascii="Tahoma" w:eastAsia="Tahoma" w:hAnsi="Tahoma" w:cs="Tahoma"/>
    </w:rPr>
  </w:style>
  <w:style w:type="character" w:customStyle="1" w:styleId="CharStyle21">
    <w:name w:val="Основной текст (5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4"/>
    </w:rPr>
  </w:style>
  <w:style w:type="character" w:customStyle="1" w:styleId="CharStyle25">
    <w:name w:val="Основной текст (4) Exact"/>
    <w:basedOn w:val="CharStyle13"/>
    <w:rPr>
      <w:lang w:val="ru-RU" w:eastAsia="ru-RU" w:bidi="ru-RU"/>
      <w:sz w:val="16"/>
      <w:szCs w:val="16"/>
      <w:w w:val="100"/>
      <w:spacing w:val="4"/>
      <w:color w:val="000000"/>
      <w:position w:val="0"/>
    </w:rPr>
  </w:style>
  <w:style w:type="character" w:customStyle="1" w:styleId="CharStyle26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2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Заголовок №2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Заголовок №2 + Интервал 3 pt"/>
    <w:basedOn w:val="CharStyle29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3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ahoma" w:eastAsia="Tahoma" w:hAnsi="Tahoma" w:cs="Tahoma"/>
      <w:spacing w:val="-19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240" w:line="21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ahoma" w:eastAsia="Tahoma" w:hAnsi="Tahoma" w:cs="Tahoma"/>
      <w:spacing w:val="-5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Tahoma" w:eastAsia="Tahoma" w:hAnsi="Tahoma" w:cs="Tahoma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spacing w:before="36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Заголовок №2"/>
    <w:basedOn w:val="Normal"/>
    <w:link w:val="CharStyle29"/>
    <w:pPr>
      <w:widowControl w:val="0"/>
      <w:shd w:val="clear" w:color="auto" w:fill="FFFFFF"/>
      <w:outlineLvl w:val="1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