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0" w:right="0" w:firstLine="0"/>
      </w:pPr>
      <w:r>
        <w:rPr>
          <w:rStyle w:val="CharStyle8"/>
        </w:rPr>
        <w:t>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77" w:left="1233" w:right="6439" w:bottom="1723" w:header="0" w:footer="3" w:gutter="0"/>
          <w:rtlGutter w:val="0"/>
          <w:cols w:space="720"/>
          <w:noEndnote/>
          <w:docGrid w:linePitch="360"/>
        </w:sectPr>
      </w:pPr>
      <w:r>
        <w:rPr>
          <w:rStyle w:val="CharStyle11"/>
          <w:b/>
          <w:bCs/>
        </w:rPr>
        <w:t>Федеральной антимонопольной службы по Республике Бурятия (Бурятское УФАС России)</w:t>
      </w:r>
    </w:p>
    <w:p>
      <w:pPr>
        <w:widowControl w:val="0"/>
        <w:spacing w:line="162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а/я 3'2, Улан-Удэ, 670001 Ленина ул., д. 55, Улан-Удэ, 670000 Телефакс (3012)21-33-72 </w:t>
      </w:r>
      <w:r>
        <w:fldChar w:fldCharType="begin"/>
      </w:r>
      <w:r>
        <w:rPr>
          <w:rStyle w:val="CharStyle14"/>
        </w:rPr>
        <w:instrText> HYPERLINK "mailto:to03@fas.gov.ru"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to03@fas.gov.ru</w:t>
      </w:r>
      <w:r>
        <w:fldChar w:fldCharType="end"/>
      </w:r>
      <w:r>
        <w:rPr>
          <w:rStyle w:val="CharStyle14"/>
          <w:lang w:val="en-US" w:eastAsia="en-US" w:bidi="en-US"/>
        </w:rPr>
        <w:t xml:space="preserve">; http;// </w:t>
      </w:r>
      <w:r>
        <w:fldChar w:fldCharType="begin"/>
      </w:r>
      <w:r>
        <w:rPr>
          <w:rStyle w:val="CharStyle14"/>
        </w:rPr>
        <w:instrText> HYPERLINK "http://www.buryatia.fas.gov.ru" </w:instrText>
      </w:r>
      <w:r>
        <w:fldChar w:fldCharType="separate"/>
      </w:r>
      <w:r>
        <w:rPr>
          <w:rStyle w:val="Hyperlink"/>
          <w:lang w:val="en-US" w:eastAsia="en-US" w:bidi="en-US"/>
        </w:rPr>
        <w:t>www.buryatia.fas.gov.ru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«Метрика-Групп»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type w:val="continuous"/>
          <w:pgSz w:w="11906" w:h="16838"/>
          <w:pgMar w:top="877" w:left="1438" w:right="1560" w:bottom="1723" w:header="0" w:footer="3" w:gutter="0"/>
          <w:rtlGutter w:val="0"/>
          <w:cols w:num="2" w:space="720" w:equalWidth="0">
            <w:col w:w="3560" w:space="1130"/>
            <w:col w:w="421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644033, г. Омск, ул. 2-я Дачная, 10, литера А, помещение ЗП </w:t>
      </w:r>
      <w:r>
        <w:rPr>
          <w:rStyle w:val="CharStyle17"/>
        </w:rPr>
        <w:t>omsk@metricageo ,ru</w:t>
      </w:r>
    </w:p>
    <w:p>
      <w:pPr>
        <w:widowControl w:val="0"/>
        <w:spacing w:line="16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00" w:wrap="around" w:vAnchor="text" w:hAnchor="margin" w:x="1853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9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877" w:left="1434" w:right="9721" w:bottom="1723" w:header="0" w:footer="3" w:gutter="0"/>
          <w:rtlGutter w:val="0"/>
          <w:cols w:space="720"/>
          <w:noEndnote/>
          <w:docGrid w:linePitch="360"/>
        </w:sectPr>
      </w:pPr>
      <w:r>
        <w:rPr>
          <w:rStyle w:val="CharStyle8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framePr w:h="170" w:wrap="around" w:hAnchor="margin" w:x="73" w:y="588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567" w:line="21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Настоящим сообщаю, что поступившая в адрес Бурятского УФАС России жалоба ООО «Метрика-Групп» от 16.07.2020 на действия заказчика при проведении электронного аукциона «Поставка геодезических инструментов и приборов», реестровый номер - 0102200001620002221 не соответствует требованиям, установленным частью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жалоба подана по электронной почте без использования электронной подписи.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письмом Минэкономразвития России от 06.05.2014 № 10073-ЕЕ/Д28и жалобы, подаваемые посредством факса или в форме электронного документа без использования электронной подписи, не будут соответствовать нормам Закона о контрактной системе.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на основании пунктов 1, 2 части 11 статьи 105 Закона о контрактной системе, Бурятским УФАС России принято решение о возвращении жалобы.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15"/>
        <w:framePr w:h="240" w:wrap="around" w:vAnchor="text" w:hAnchor="margin" w:x="7459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2"/>
          <w:spacing w:val="0"/>
        </w:rPr>
        <w:t>И.И. Баглаева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415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управления</w:t>
      </w:r>
    </w:p>
    <w:p>
      <w:pPr>
        <w:pStyle w:val="Style23"/>
        <w:framePr w:h="379" w:wrap="notBeside" w:vAnchor="text" w:hAnchor="margin" w:x="7523" w:y="745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100" w:right="0" w:firstLine="0"/>
      </w:pPr>
      <w:r>
        <w:rPr>
          <w:rStyle w:val="CharStyle25"/>
          <w:spacing w:val="40"/>
        </w:rPr>
        <w:t>195188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Владимирова О.Г. 8(3012) 212068</w:t>
      </w:r>
    </w:p>
    <w:sectPr>
      <w:type w:val="continuous"/>
      <w:pgSz w:w="11906" w:h="16838"/>
      <w:pgMar w:top="877" w:left="1442" w:right="1230" w:bottom="17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5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3) Exact"/>
    <w:basedOn w:val="CharStyle7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21">
    <w:name w:val="Основной текст (7) Exact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7"/>
      <w:szCs w:val="17"/>
      <w:rFonts w:ascii="Trebuchet MS" w:eastAsia="Trebuchet MS" w:hAnsi="Trebuchet MS" w:cs="Trebuchet MS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24">
    <w:name w:val="Основной текст (8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42"/>
    </w:rPr>
  </w:style>
  <w:style w:type="character" w:customStyle="1" w:styleId="CharStyle25">
    <w:name w:val="Основной текст (8) Exact"/>
    <w:basedOn w:val="CharStyle24"/>
    <w:rPr>
      <w:lang w:val="ru-RU" w:eastAsia="ru-RU" w:bidi="ru-RU"/>
      <w:w w:val="100"/>
      <w:color w:val="000000"/>
      <w:position w:val="0"/>
    </w:rPr>
  </w:style>
  <w:style w:type="character" w:customStyle="1" w:styleId="CharStyle27">
    <w:name w:val="Основной текст (6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6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23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0">
    <w:name w:val="Основной текст (7)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rebuchet MS" w:eastAsia="Trebuchet MS" w:hAnsi="Trebuchet MS" w:cs="Trebuchet MS"/>
    </w:rPr>
  </w:style>
  <w:style w:type="paragraph" w:customStyle="1" w:styleId="Style23">
    <w:name w:val="Основной текст (8)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42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