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2" w:after="211"/>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45" w:lineRule="exact"/>
        <w:ind w:left="0" w:right="0" w:firstLine="0"/>
      </w:pPr>
      <w:r>
        <w:rPr>
          <w:rStyle w:val="CharStyle5"/>
          <w:b/>
          <w:bCs/>
        </w:rPr>
        <w:t>УПРАВЛЕНИЕ Федеральной антимонопольной службы по Тамбовской области</w:t>
      </w:r>
    </w:p>
    <w:p>
      <w:pPr>
        <w:pStyle w:val="Style6"/>
        <w:widowControl w:val="0"/>
        <w:keepNext w:val="0"/>
        <w:keepLines w:val="0"/>
        <w:shd w:val="clear" w:color="auto" w:fill="auto"/>
        <w:bidi w:val="0"/>
        <w:spacing w:before="0" w:after="0"/>
        <w:ind w:left="0" w:right="20" w:firstLine="0"/>
        <w:sectPr>
          <w:footnotePr>
            <w:pos w:val="pageBottom"/>
            <w:numFmt w:val="decimal"/>
            <w:numRestart w:val="continuous"/>
          </w:footnotePr>
          <w:type w:val="continuous"/>
          <w:pgSz w:w="11906" w:h="16838"/>
          <w:pgMar w:top="524" w:left="1311" w:right="1244" w:bottom="1532" w:header="0" w:footer="3" w:gutter="0"/>
          <w:rtlGutter w:val="0"/>
          <w:cols w:num="2" w:space="720" w:equalWidth="0">
            <w:col w:w="4354" w:space="2218"/>
            <w:col w:w="2779"/>
          </w:cols>
          <w:noEndnote/>
          <w:docGrid w:linePitch="360"/>
        </w:sectPr>
      </w:pPr>
      <w:r>
        <w:rPr>
          <w:lang w:val="ru-RU" w:eastAsia="ru-RU" w:bidi="ru-RU"/>
          <w:sz w:val="24"/>
          <w:szCs w:val="24"/>
          <w:w w:val="100"/>
          <w:spacing w:val="0"/>
          <w:color w:val="000000"/>
          <w:position w:val="0"/>
        </w:rPr>
        <w:t xml:space="preserve">ООО «Медицинские расходные материалы» 1 15035, г. Москва, ул. Садовническая, д. 72, стр. 1, э. 1, пом. III, к. 5, оф. 2 </w:t>
      </w:r>
      <w:r>
        <w:fldChar w:fldCharType="begin"/>
      </w:r>
      <w:r>
        <w:rPr>
          <w:color w:val="000000"/>
        </w:rPr>
        <w:instrText> HYPERLINK "mailto:medzakupki@gmail.com" </w:instrText>
      </w:r>
      <w:r>
        <w:fldChar w:fldCharType="separate"/>
      </w:r>
      <w:r>
        <w:rPr>
          <w:rStyle w:val="Hyperlink"/>
          <w:lang w:val="en-US" w:eastAsia="en-US" w:bidi="en-US"/>
          <w:sz w:val="24"/>
          <w:szCs w:val="24"/>
          <w:w w:val="100"/>
          <w:spacing w:val="0"/>
          <w:position w:val="0"/>
        </w:rPr>
        <w:t>medzakupki@gmail.com</w:t>
      </w:r>
      <w:r>
        <w:fldChar w:fldCharType="end"/>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757"/>
        <w:ind w:left="660" w:right="0" w:firstLine="0"/>
      </w:pPr>
      <w:r>
        <w:rPr>
          <w:rStyle w:val="CharStyle12"/>
        </w:rPr>
        <w:t xml:space="preserve">ул. Державинская. 1. г. Тамбов. 392000 Тел. (4752) 71-36-00. факс (4752) 71-35-33 </w:t>
      </w:r>
      <w:r>
        <w:rPr>
          <w:rStyle w:val="CharStyle12"/>
          <w:lang w:val="en-US" w:eastAsia="en-US" w:bidi="en-US"/>
        </w:rPr>
        <w:t xml:space="preserve">e-mail: </w:t>
      </w:r>
      <w:r>
        <w:fldChar w:fldCharType="begin"/>
      </w:r>
      <w:r>
        <w:rPr>
          <w:rStyle w:val="CharStyle12"/>
        </w:rPr>
        <w:instrText> HYPERLINK "mailto:to68@fas.gov.ru" </w:instrText>
      </w:r>
      <w:r>
        <w:fldChar w:fldCharType="separate"/>
      </w:r>
      <w:r>
        <w:rPr>
          <w:rStyle w:val="Hyperlink"/>
          <w:lang w:val="en-US" w:eastAsia="en-US" w:bidi="en-US"/>
        </w:rPr>
        <w:t>to68@fas.gov.ru</w:t>
      </w:r>
      <w:r>
        <w:fldChar w:fldCharType="end"/>
      </w:r>
    </w:p>
    <w:p>
      <w:pPr>
        <w:pStyle w:val="Style10"/>
        <w:widowControl w:val="0"/>
        <w:keepNext w:val="0"/>
        <w:keepLines w:val="0"/>
        <w:shd w:val="clear" w:color="auto" w:fill="auto"/>
        <w:bidi w:val="0"/>
        <w:jc w:val="both"/>
        <w:spacing w:before="0" w:after="701" w:line="160" w:lineRule="exact"/>
        <w:ind w:left="20" w:right="0" w:firstLine="580"/>
      </w:pPr>
      <w:r>
        <w:rPr>
          <w:lang w:val="ru-RU" w:eastAsia="ru-RU" w:bidi="ru-RU"/>
          <w:w w:val="100"/>
          <w:spacing w:val="0"/>
          <w:color w:val="000000"/>
          <w:position w:val="0"/>
        </w:rPr>
        <w:t>На№</w:t>
      </w:r>
    </w:p>
    <w:p>
      <w:pPr>
        <w:pStyle w:val="Style6"/>
        <w:widowControl w:val="0"/>
        <w:keepNext w:val="0"/>
        <w:keepLines w:val="0"/>
        <w:shd w:val="clear" w:color="auto" w:fill="auto"/>
        <w:bidi w:val="0"/>
        <w:jc w:val="center"/>
        <w:spacing w:before="0" w:after="282" w:line="293" w:lineRule="exact"/>
        <w:ind w:left="0" w:right="0" w:firstLine="0"/>
      </w:pPr>
      <w:r>
        <w:rPr>
          <w:rStyle w:val="CharStyle13"/>
        </w:rPr>
        <w:t xml:space="preserve">РЕШЕНИЕ </w:t>
      </w:r>
      <w:r>
        <w:rPr>
          <w:lang w:val="ru-RU" w:eastAsia="ru-RU" w:bidi="ru-RU"/>
          <w:sz w:val="24"/>
          <w:szCs w:val="24"/>
          <w:w w:val="100"/>
          <w:spacing w:val="0"/>
          <w:color w:val="000000"/>
          <w:position w:val="0"/>
        </w:rPr>
        <w:t>о возвращении жалобы № 068/06/67-442/2020</w:t>
      </w:r>
    </w:p>
    <w:p>
      <w:pPr>
        <w:pStyle w:val="Style6"/>
        <w:tabs>
          <w:tab w:leader="none" w:pos="8353" w:val="left"/>
        </w:tabs>
        <w:widowControl w:val="0"/>
        <w:keepNext w:val="0"/>
        <w:keepLines w:val="0"/>
        <w:shd w:val="clear" w:color="auto" w:fill="auto"/>
        <w:bidi w:val="0"/>
        <w:jc w:val="both"/>
        <w:spacing w:before="0" w:after="280" w:line="240" w:lineRule="exact"/>
        <w:ind w:left="20" w:right="0" w:firstLine="0"/>
      </w:pPr>
      <w:r>
        <w:rPr>
          <w:lang w:val="ru-RU" w:eastAsia="ru-RU" w:bidi="ru-RU"/>
          <w:sz w:val="24"/>
          <w:szCs w:val="24"/>
          <w:w w:val="100"/>
          <w:spacing w:val="0"/>
          <w:color w:val="000000"/>
          <w:position w:val="0"/>
        </w:rPr>
        <w:t>«23» июля 2020 г.</w:t>
        <w:tab/>
        <w:t>г. Тамбов</w:t>
      </w:r>
    </w:p>
    <w:p>
      <w:pPr>
        <w:pStyle w:val="Style6"/>
        <w:widowControl w:val="0"/>
        <w:keepNext w:val="0"/>
        <w:keepLines w:val="0"/>
        <w:shd w:val="clear" w:color="auto" w:fill="auto"/>
        <w:bidi w:val="0"/>
        <w:jc w:val="both"/>
        <w:spacing w:before="0" w:after="0" w:line="293" w:lineRule="exact"/>
        <w:ind w:left="20" w:right="20" w:firstLine="580"/>
      </w:pPr>
      <w:r>
        <w:rPr>
          <w:lang w:val="ru-RU" w:eastAsia="ru-RU" w:bidi="ru-RU"/>
          <w:sz w:val="24"/>
          <w:szCs w:val="24"/>
          <w:w w:val="100"/>
          <w:spacing w:val="0"/>
          <w:color w:val="000000"/>
          <w:position w:val="0"/>
        </w:rPr>
        <w:t xml:space="preserve">Тамбовское УФАС России в соответствии с требованием пункта 3.1.1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Федеральной антимонопольной службы от 19.11.2014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727/14) (далее - Регламент),</w:t>
      </w:r>
    </w:p>
    <w:p>
      <w:pPr>
        <w:pStyle w:val="Style6"/>
        <w:widowControl w:val="0"/>
        <w:keepNext w:val="0"/>
        <w:keepLines w:val="0"/>
        <w:shd w:val="clear" w:color="auto" w:fill="auto"/>
        <w:bidi w:val="0"/>
        <w:jc w:val="both"/>
        <w:spacing w:before="0" w:after="0" w:line="293" w:lineRule="exact"/>
        <w:ind w:left="20" w:right="20" w:firstLine="580"/>
      </w:pPr>
      <w:r>
        <w:rPr>
          <w:lang w:val="ru-RU" w:eastAsia="ru-RU" w:bidi="ru-RU"/>
          <w:sz w:val="24"/>
          <w:szCs w:val="24"/>
          <w:w w:val="100"/>
          <w:spacing w:val="0"/>
          <w:color w:val="000000"/>
          <w:position w:val="0"/>
        </w:rPr>
        <w:t xml:space="preserve">проверив жалобу ООО «Медицинские расходные материалы» (далее - Заявитель, Общество) (исх. от 21.07.2020 № 21/07, вх. 21.07.2020 № 4411) на действия ГБУЗ «Тамбовская областная клиническая больница имени В.Д. Бабенко» и его аукционной комиссии при проведении электронного аукциона № 0164200003020001969 на поставку принадлежностей к электрокардиографам </w:t>
      </w:r>
      <w:r>
        <w:rPr>
          <w:rStyle w:val="CharStyle14"/>
          <w:lang w:val="en-US" w:eastAsia="en-US" w:bidi="en-US"/>
        </w:rPr>
        <w:t xml:space="preserve">FX- </w:t>
      </w:r>
      <w:r>
        <w:rPr>
          <w:lang w:val="ru-RU" w:eastAsia="ru-RU" w:bidi="ru-RU"/>
          <w:sz w:val="24"/>
          <w:szCs w:val="24"/>
          <w:w w:val="100"/>
          <w:spacing w:val="0"/>
          <w:color w:val="000000"/>
          <w:position w:val="0"/>
        </w:rPr>
        <w:t xml:space="preserve">7102 и </w:t>
      </w:r>
      <w:r>
        <w:rPr>
          <w:lang w:val="en-US" w:eastAsia="en-US" w:bidi="en-US"/>
          <w:sz w:val="24"/>
          <w:szCs w:val="24"/>
          <w:w w:val="100"/>
          <w:spacing w:val="0"/>
          <w:color w:val="000000"/>
          <w:position w:val="0"/>
        </w:rPr>
        <w:t xml:space="preserve">FX-7202, </w:t>
      </w:r>
      <w:r>
        <w:rPr>
          <w:lang w:val="ru-RU" w:eastAsia="ru-RU" w:bidi="ru-RU"/>
          <w:sz w:val="24"/>
          <w:szCs w:val="24"/>
          <w:w w:val="100"/>
          <w:spacing w:val="0"/>
          <w:color w:val="000000"/>
          <w:position w:val="0"/>
        </w:rPr>
        <w:t>производства"Фукуда Дэнси Ко., Лтд.", Япония</w:t>
      </w:r>
    </w:p>
    <w:p>
      <w:pPr>
        <w:pStyle w:val="Style6"/>
        <w:widowControl w:val="0"/>
        <w:keepNext w:val="0"/>
        <w:keepLines w:val="0"/>
        <w:shd w:val="clear" w:color="auto" w:fill="auto"/>
        <w:bidi w:val="0"/>
        <w:jc w:val="both"/>
        <w:spacing w:before="0" w:after="0" w:line="293" w:lineRule="exact"/>
        <w:ind w:left="20" w:right="20" w:firstLine="640"/>
      </w:pPr>
      <w:r>
        <w:rPr>
          <w:lang w:val="ru-RU" w:eastAsia="ru-RU" w:bidi="ru-RU"/>
          <w:sz w:val="24"/>
          <w:szCs w:val="24"/>
          <w:w w:val="100"/>
          <w:spacing w:val="0"/>
          <w:color w:val="000000"/>
          <w:position w:val="0"/>
        </w:rPr>
        <w:t xml:space="preserve">на соответствие требованиям статей 105-107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установило следующее.</w:t>
      </w:r>
    </w:p>
    <w:p>
      <w:pPr>
        <w:pStyle w:val="Style8"/>
        <w:framePr w:h="357" w:wrap="notBeside" w:vAnchor="text" w:hAnchor="margin" w:x="7715" w:y="2118"/>
        <w:widowControl w:val="0"/>
        <w:keepNext w:val="0"/>
        <w:keepLines w:val="0"/>
        <w:shd w:val="clear" w:color="auto" w:fill="auto"/>
        <w:bidi w:val="0"/>
        <w:jc w:val="left"/>
        <w:spacing w:before="0" w:after="0" w:line="320" w:lineRule="exact"/>
        <w:ind w:left="100" w:right="0" w:firstLine="0"/>
      </w:pPr>
      <w:r>
        <w:rPr>
          <w:lang w:val="ru-RU" w:eastAsia="ru-RU" w:bidi="ru-RU"/>
          <w:w w:val="100"/>
          <w:spacing w:val="40"/>
          <w:color w:val="000000"/>
          <w:position w:val="0"/>
        </w:rPr>
        <w:t>087198</w:t>
      </w:r>
    </w:p>
    <w:p>
      <w:pPr>
        <w:pStyle w:val="Style6"/>
        <w:widowControl w:val="0"/>
        <w:keepNext w:val="0"/>
        <w:keepLines w:val="0"/>
        <w:shd w:val="clear" w:color="auto" w:fill="auto"/>
        <w:bidi w:val="0"/>
        <w:jc w:val="both"/>
        <w:spacing w:before="0" w:after="0" w:line="293" w:lineRule="exact"/>
        <w:ind w:left="20" w:right="20" w:firstLine="580"/>
      </w:pPr>
      <w:r>
        <w:rPr>
          <w:lang w:val="ru-RU" w:eastAsia="ru-RU" w:bidi="ru-RU"/>
          <w:sz w:val="24"/>
          <w:szCs w:val="24"/>
          <w:w w:val="100"/>
          <w:spacing w:val="0"/>
          <w:color w:val="000000"/>
          <w:position w:val="0"/>
        </w:rPr>
        <w:t>Согласно части 1 статьи 305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w:t>
        <w:br w:type="page"/>
        <w:t>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6"/>
        <w:widowControl w:val="0"/>
        <w:keepNext w:val="0"/>
        <w:keepLines w:val="0"/>
        <w:shd w:val="clear" w:color="auto" w:fill="auto"/>
        <w:bidi w:val="0"/>
        <w:jc w:val="both"/>
        <w:spacing w:before="0" w:after="0" w:line="293" w:lineRule="exact"/>
        <w:ind w:left="40" w:right="40" w:firstLine="600"/>
      </w:pPr>
      <w:r>
        <w:rPr>
          <w:lang w:val="ru-RU" w:eastAsia="ru-RU" w:bidi="ru-RU"/>
          <w:sz w:val="24"/>
          <w:szCs w:val="24"/>
          <w:w w:val="100"/>
          <w:spacing w:val="0"/>
          <w:color w:val="000000"/>
          <w:position w:val="0"/>
        </w:rPr>
        <w:t xml:space="preserve">Частью 4 статьи 105 Закона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w:t>
      </w:r>
      <w:r>
        <w:rPr>
          <w:rStyle w:val="CharStyle14"/>
        </w:rPr>
        <w:t xml:space="preserve">не позднее чем через пить дней с даты размещения </w:t>
      </w:r>
      <w:r>
        <w:rPr>
          <w:lang w:val="ru-RU" w:eastAsia="ru-RU" w:bidi="ru-RU"/>
          <w:sz w:val="24"/>
          <w:szCs w:val="24"/>
          <w:w w:val="100"/>
          <w:spacing w:val="0"/>
          <w:color w:val="000000"/>
          <w:position w:val="0"/>
        </w:rPr>
        <w:t xml:space="preserve">в </w:t>
      </w:r>
      <w:r>
        <w:rPr>
          <w:rStyle w:val="CharStyle14"/>
        </w:rPr>
        <w:t xml:space="preserve">единой информационной системе протокола подведения итогов </w:t>
      </w:r>
      <w:r>
        <w:rPr>
          <w:lang w:val="ru-RU" w:eastAsia="ru-RU" w:bidi="ru-RU"/>
          <w:sz w:val="24"/>
          <w:szCs w:val="24"/>
          <w:w w:val="100"/>
          <w:spacing w:val="0"/>
          <w:color w:val="000000"/>
          <w:position w:val="0"/>
        </w:rPr>
        <w:t xml:space="preserve">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w:t>
      </w:r>
      <w:r>
        <w:rPr>
          <w:rStyle w:val="CharStyle14"/>
        </w:rPr>
        <w:t xml:space="preserve">электронного аукциона, </w:t>
      </w:r>
      <w:r>
        <w:rPr>
          <w:lang w:val="ru-RU" w:eastAsia="ru-RU" w:bidi="ru-RU"/>
          <w:sz w:val="24"/>
          <w:szCs w:val="24"/>
          <w:w w:val="100"/>
          <w:spacing w:val="0"/>
          <w:color w:val="000000"/>
          <w:position w:val="0"/>
        </w:rPr>
        <w:t xml:space="preserve">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15"/>
        </w:rPr>
        <w:t>Жалоба на положения документации и (или)</w:t>
      </w:r>
      <w:r>
        <w:rPr>
          <w:lang w:val="ru-RU" w:eastAsia="ru-RU" w:bidi="ru-RU"/>
          <w:sz w:val="24"/>
          <w:szCs w:val="24"/>
          <w:w w:val="100"/>
          <w:spacing w:val="0"/>
          <w:color w:val="000000"/>
          <w:position w:val="0"/>
        </w:rPr>
        <w:t xml:space="preserve"> </w:t>
      </w:r>
      <w:r>
        <w:rPr>
          <w:rStyle w:val="CharStyle15"/>
        </w:rPr>
        <w:t>извещения о проведении электронных процедур, закрытых электронных процедур</w:t>
      </w:r>
      <w:r>
        <w:rPr>
          <w:lang w:val="ru-RU" w:eastAsia="ru-RU" w:bidi="ru-RU"/>
          <w:sz w:val="24"/>
          <w:szCs w:val="24"/>
          <w:w w:val="100"/>
          <w:spacing w:val="0"/>
          <w:color w:val="000000"/>
          <w:position w:val="0"/>
        </w:rPr>
        <w:t xml:space="preserve"> </w:t>
      </w:r>
      <w:r>
        <w:rPr>
          <w:rStyle w:val="CharStyle15"/>
        </w:rPr>
        <w:t>может быть подана участником закупки до окончания срока подачи заявок на</w:t>
      </w:r>
      <w:r>
        <w:rPr>
          <w:lang w:val="ru-RU" w:eastAsia="ru-RU" w:bidi="ru-RU"/>
          <w:sz w:val="24"/>
          <w:szCs w:val="24"/>
          <w:w w:val="100"/>
          <w:spacing w:val="0"/>
          <w:color w:val="000000"/>
          <w:position w:val="0"/>
        </w:rPr>
        <w:t xml:space="preserve"> </w:t>
      </w:r>
      <w:r>
        <w:rPr>
          <w:rStyle w:val="CharStyle15"/>
        </w:rPr>
        <w:t>участие в таких процедурах.</w:t>
      </w:r>
      <w:r>
        <w:rPr>
          <w:lang w:val="ru-RU" w:eastAsia="ru-RU" w:bidi="ru-RU"/>
          <w:sz w:val="24"/>
          <w:szCs w:val="24"/>
          <w:w w:val="100"/>
          <w:spacing w:val="0"/>
          <w:color w:val="000000"/>
          <w:position w:val="0"/>
        </w:rPr>
        <w:t xml:space="preserve">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w:t>
      </w:r>
    </w:p>
    <w:p>
      <w:pPr>
        <w:pStyle w:val="Style6"/>
        <w:widowControl w:val="0"/>
        <w:keepNext w:val="0"/>
        <w:keepLines w:val="0"/>
        <w:shd w:val="clear" w:color="auto" w:fill="auto"/>
        <w:bidi w:val="0"/>
        <w:jc w:val="both"/>
        <w:spacing w:before="0" w:after="0" w:line="293" w:lineRule="exact"/>
        <w:ind w:left="40" w:right="40" w:firstLine="600"/>
      </w:pPr>
      <w:r>
        <w:rPr>
          <w:lang w:val="ru-RU" w:eastAsia="ru-RU" w:bidi="ru-RU"/>
          <w:sz w:val="24"/>
          <w:szCs w:val="24"/>
          <w:w w:val="100"/>
          <w:spacing w:val="0"/>
          <w:color w:val="000000"/>
          <w:position w:val="0"/>
        </w:rPr>
        <w:t>Из содержания жалобы следует, что ООО «Медицинские расходные материалы» обжалует действия аукционной комиссии Заказчика при рассмотрении первых частей заявок на участие в электронном аукционе № 0164200003020001969.</w:t>
      </w:r>
    </w:p>
    <w:p>
      <w:pPr>
        <w:pStyle w:val="Style6"/>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Однако. ООО «Медицинские расходные материалы» пропустило сроки обжалования указанных действий аукционной комиссии в силу следующего.</w:t>
      </w:r>
    </w:p>
    <w:p>
      <w:pPr>
        <w:pStyle w:val="Style6"/>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Протокол подведения итогов электронного аукциона № 0164200003020001969 размещен в ЕИС в сфере закупок 15 июля 202.0 года.</w:t>
      </w:r>
    </w:p>
    <w:p>
      <w:pPr>
        <w:pStyle w:val="Style6"/>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Жалоба ООО «Медицинские расходные материалы» была подана в Тамбовское УФАС России 21.07.2020, т.е. по истечении 5 дневного срока на обжалование действий аукционной комиссии при рассмотрении первых частей заявок на участие в электронном аукционе, установленного ч. 4 ст. 105 Закона о контрактной системе.</w:t>
      </w:r>
    </w:p>
    <w:p>
      <w:pPr>
        <w:pStyle w:val="Style6"/>
        <w:widowControl w:val="0"/>
        <w:keepNext w:val="0"/>
        <w:keepLines w:val="0"/>
        <w:shd w:val="clear" w:color="auto" w:fill="auto"/>
        <w:bidi w:val="0"/>
        <w:jc w:val="both"/>
        <w:spacing w:before="0" w:after="0" w:line="293" w:lineRule="exact"/>
        <w:ind w:left="20" w:right="0" w:firstLine="560"/>
      </w:pPr>
      <w:r>
        <w:rPr>
          <w:lang w:val="ru-RU" w:eastAsia="ru-RU" w:bidi="ru-RU"/>
          <w:sz w:val="24"/>
          <w:szCs w:val="24"/>
          <w:w w:val="100"/>
          <w:spacing w:val="0"/>
          <w:color w:val="000000"/>
          <w:position w:val="0"/>
        </w:rPr>
        <w:t>Кроме того, Заявитель в поданном обращении обжалует положения документации о закупке, однако сроки на обжалование положений документации о закупке истекли, поскольку в соответствии с извещением о проведении электронного аукциона срок окончания подачи заявок установлен до 10.07.2020 в 7 часов, а жалоба Общества подана и поступила в антимонопольный орган 21 июля 2020 года.</w:t>
      </w:r>
    </w:p>
    <w:p>
      <w:pPr>
        <w:pStyle w:val="Style6"/>
        <w:widowControl w:val="0"/>
        <w:keepNext w:val="0"/>
        <w:keepLines w:val="0"/>
        <w:shd w:val="clear" w:color="auto" w:fill="auto"/>
        <w:bidi w:val="0"/>
        <w:jc w:val="both"/>
        <w:spacing w:before="0" w:after="582" w:line="293" w:lineRule="exact"/>
        <w:ind w:left="20" w:right="0" w:firstLine="560"/>
      </w:pPr>
      <w:r>
        <w:rPr>
          <w:lang w:val="ru-RU" w:eastAsia="ru-RU" w:bidi="ru-RU"/>
          <w:sz w:val="24"/>
          <w:szCs w:val="24"/>
          <w:w w:val="100"/>
          <w:spacing w:val="0"/>
          <w:color w:val="000000"/>
          <w:position w:val="0"/>
        </w:rPr>
        <w:t>Указанное в соответствии с пунктом 3 части 11 статьи 105 Закона о контрактной системе является самостоятельным основанием для возврата жалобы Заявителю без рассмотрения.</w:t>
      </w:r>
    </w:p>
    <w:p>
      <w:pPr>
        <w:pStyle w:val="Style6"/>
        <w:widowControl w:val="0"/>
        <w:keepNext w:val="0"/>
        <w:keepLines w:val="0"/>
        <w:shd w:val="clear" w:color="auto" w:fill="auto"/>
        <w:bidi w:val="0"/>
        <w:jc w:val="left"/>
        <w:spacing w:before="0" w:after="5550" w:line="240" w:lineRule="exact"/>
        <w:ind w:left="20" w:right="0" w:firstLine="0"/>
      </w:pPr>
      <w:r>
        <w:rPr>
          <w:lang w:val="ru-RU" w:eastAsia="ru-RU" w:bidi="ru-RU"/>
          <w:sz w:val="24"/>
          <w:szCs w:val="24"/>
          <w:w w:val="100"/>
          <w:spacing w:val="0"/>
          <w:color w:val="000000"/>
          <w:position w:val="0"/>
        </w:rPr>
        <w:t>Руководитель управления</w:t>
      </w:r>
    </w:p>
    <w:p>
      <w:pPr>
        <w:pStyle w:val="Style16"/>
        <w:widowControl w:val="0"/>
        <w:keepNext w:val="0"/>
        <w:keepLines w:val="0"/>
        <w:shd w:val="clear" w:color="auto" w:fill="auto"/>
        <w:bidi w:val="0"/>
        <w:jc w:val="left"/>
        <w:spacing w:before="0" w:after="0"/>
        <w:ind w:left="20" w:right="2920" w:firstLine="0"/>
      </w:pPr>
      <w:r>
        <w:rPr>
          <w:lang w:val="ru-RU" w:eastAsia="ru-RU" w:bidi="ru-RU"/>
          <w:w w:val="100"/>
          <w:spacing w:val="0"/>
          <w:color w:val="000000"/>
          <w:position w:val="0"/>
        </w:rPr>
        <w:t xml:space="preserve">Исп. Четверткова Т.В. </w:t>
      </w:r>
      <w:r>
        <w:rPr>
          <w:rStyle w:val="CharStyle18"/>
        </w:rPr>
        <w:t>8</w:t>
      </w:r>
      <w:r>
        <w:rPr>
          <w:rStyle w:val="CharStyle19"/>
        </w:rPr>
        <w:t xml:space="preserve"> (</w:t>
      </w:r>
      <w:r>
        <w:rPr>
          <w:rStyle w:val="CharStyle18"/>
        </w:rPr>
        <w:t>4752</w:t>
      </w:r>
      <w:r>
        <w:rPr>
          <w:rStyle w:val="CharStyle19"/>
        </w:rPr>
        <w:t xml:space="preserve">) </w:t>
      </w:r>
      <w:r>
        <w:rPr>
          <w:rStyle w:val="CharStyle18"/>
        </w:rPr>
        <w:t>72</w:t>
      </w:r>
      <w:r>
        <w:rPr>
          <w:rStyle w:val="CharStyle19"/>
        </w:rPr>
        <w:t>-</w:t>
      </w:r>
      <w:r>
        <w:rPr>
          <w:rStyle w:val="CharStyle18"/>
        </w:rPr>
        <w:t>73-44</w:t>
      </w:r>
      <w:r>
        <w:br w:type="page"/>
      </w:r>
    </w:p>
    <w:sectPr>
      <w:type w:val="continuous"/>
      <w:pgSz w:w="11906" w:h="16838"/>
      <w:pgMar w:top="1533" w:left="959" w:right="959" w:bottom="1144" w:header="0" w:footer="3" w:gutter="565"/>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4) Exact"/>
    <w:basedOn w:val="DefaultParagraphFont"/>
    <w:link w:val="Style8"/>
    <w:rPr>
      <w:b/>
      <w:bCs/>
      <w:i w:val="0"/>
      <w:iCs w:val="0"/>
      <w:u w:val="none"/>
      <w:strike w:val="0"/>
      <w:smallCaps w:val="0"/>
      <w:sz w:val="32"/>
      <w:szCs w:val="32"/>
      <w:rFonts w:ascii="Times New Roman" w:eastAsia="Times New Roman" w:hAnsi="Times New Roman" w:cs="Times New Roman"/>
      <w:spacing w:val="42"/>
    </w:rPr>
  </w:style>
  <w:style w:type="character" w:customStyle="1" w:styleId="CharStyle11">
    <w:name w:val="Основной текст (3)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 13 pt,Полужирный,Интервал 3 pt"/>
    <w:basedOn w:val="CharStyle7"/>
    <w:rPr>
      <w:lang w:val="ru-RU" w:eastAsia="ru-RU" w:bidi="ru-RU"/>
      <w:b/>
      <w:bCs/>
      <w:sz w:val="26"/>
      <w:szCs w:val="26"/>
      <w:w w:val="100"/>
      <w:spacing w:val="70"/>
      <w:color w:val="000000"/>
      <w:position w:val="0"/>
    </w:rPr>
  </w:style>
  <w:style w:type="character" w:customStyle="1" w:styleId="CharStyle14">
    <w:name w:val="Основной текст + 11 pt,Полужирный"/>
    <w:basedOn w:val="CharStyle7"/>
    <w:rPr>
      <w:lang w:val="ru-RU" w:eastAsia="ru-RU" w:bidi="ru-RU"/>
      <w:b/>
      <w:bCs/>
      <w:sz w:val="22"/>
      <w:szCs w:val="22"/>
      <w:w w:val="100"/>
      <w:spacing w:val="0"/>
      <w:color w:val="000000"/>
      <w:position w:val="0"/>
    </w:rPr>
  </w:style>
  <w:style w:type="character" w:customStyle="1" w:styleId="CharStyle15">
    <w:name w:val="Основной текст"/>
    <w:basedOn w:val="CharStyle7"/>
    <w:rPr>
      <w:lang w:val="ru-RU" w:eastAsia="ru-RU" w:bidi="ru-RU"/>
      <w:u w:val="single"/>
      <w:sz w:val="24"/>
      <w:szCs w:val="24"/>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19">
    <w:name w:val="Основной текст (5) + Полужирный"/>
    <w:basedOn w:val="CharStyle17"/>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283"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right"/>
      <w:spacing w:line="302"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spacing w:line="0" w:lineRule="exact"/>
    </w:pPr>
    <w:rPr>
      <w:b/>
      <w:bCs/>
      <w:i w:val="0"/>
      <w:iCs w:val="0"/>
      <w:u w:val="none"/>
      <w:strike w:val="0"/>
      <w:smallCaps w:val="0"/>
      <w:sz w:val="32"/>
      <w:szCs w:val="32"/>
      <w:rFonts w:ascii="Times New Roman" w:eastAsia="Times New Roman" w:hAnsi="Times New Roman" w:cs="Times New Roman"/>
      <w:spacing w:val="42"/>
    </w:rPr>
  </w:style>
  <w:style w:type="paragraph" w:customStyle="1" w:styleId="Style10">
    <w:name w:val="Основной текст (3)"/>
    <w:basedOn w:val="Normal"/>
    <w:link w:val="CharStyle11"/>
    <w:pPr>
      <w:widowControl w:val="0"/>
      <w:shd w:val="clear" w:color="auto" w:fill="FFFFFF"/>
      <w:jc w:val="center"/>
      <w:spacing w:after="72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5640" w:line="25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