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/>
        <w:keepLines/>
        <w:shd w:val="clear" w:color="auto" w:fill="auto"/>
        <w:bidi w:val="0"/>
        <w:spacing w:before="0" w:after="62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ООО «Сервис-КМ»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344010, г. Ростов-на-Дону,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4" w:line="400" w:lineRule="exact"/>
        <w:ind w:left="0" w:right="0" w:firstLine="0"/>
      </w:pPr>
      <w:r>
        <w:rPr>
          <w:rStyle w:val="CharStyle9"/>
        </w:rPr>
        <w:t xml:space="preserve">антимонопольная служба </w:t>
      </w:r>
      <w:r>
        <w:rPr>
          <w:rStyle w:val="CharStyle10"/>
        </w:rPr>
        <w:t>у</w:t>
      </w:r>
      <w:r>
        <w:rPr>
          <w:rStyle w:val="CharStyle10"/>
          <w:vertAlign w:val="subscript"/>
        </w:rPr>
        <w:t>Л</w:t>
      </w:r>
      <w:r>
        <w:rPr>
          <w:rStyle w:val="CharStyle1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Черепахина, д. 346, литер АА</w:t>
      </w:r>
    </w:p>
    <w:p>
      <w:pPr>
        <w:pStyle w:val="Style3"/>
        <w:framePr w:h="227" w:wrap="around" w:vAnchor="text" w:hAnchor="margin" w:x="763" w:y="3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898" w:left="1548" w:right="1786" w:bottom="660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"mailto:servis-md2012@yandex.ru" </w:instrText>
      </w:r>
      <w:r>
        <w:fldChar w:fldCharType="separate"/>
      </w:r>
      <w:r>
        <w:rPr>
          <w:rStyle w:val="Hyperlink"/>
        </w:rPr>
        <w:t>servis-md2012@yandex.ru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4836" w:h="594" w:wrap="notBeside" w:hAnchor="margin" w:x="-337" w:y="2620"/>
        <w:widowControl w:val="0"/>
        <w:keepNext w:val="0"/>
        <w:keepLines w:val="0"/>
        <w:shd w:val="clear" w:color="auto" w:fill="auto"/>
        <w:bidi w:val="0"/>
        <w:jc w:val="center"/>
        <w:spacing w:before="0" w:after="0" w:line="29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249" w:after="0" w:line="320" w:lineRule="exact"/>
        <w:ind w:left="1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21.07.2020 г. (вх. № 13757) поступила жалоба ООО «Сервис-КМ» (далее - Заявитель) на действия ФКУ «ЦХ и СО ГУ МВД России по Краснодарскому краю» (далее - Заказчик) при проведении электронного аукциона для закупки № 0818100000720000030 «Выполнение работ по ремонту и техническому обслуживанию вычислительной техники и копировально-множительной техники» (далее - Аукцион), в части нарушения порядка рассмотрения первых частей заявок на участие в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ч.4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Закон) обжалование действий (бездействия) заказчика, комиссии по осуществлению закупок, ее членов, в случае, если данные действия (бездействие) совершены при проведении электронной процедуры,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протокола подведения итогов электронного аукциона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в силу п.З и п.4 ч.11 статьи 105 Закона жалоба возвращается подавшему ее лицу без рассмотрения в случае, если жалоба подана по истечении срока, предусмотренного настоящей статьей, а также, если по жалобе на те же действия (бездействие) принято решение контрольного органа в сфере закупок.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Протокол подведения итогов электронного аукциона №0818100000720000030 размещен в Единой информационной системе</w:t>
      </w:r>
    </w:p>
    <w:p>
      <w:pPr>
        <w:pStyle w:val="Style7"/>
        <w:numPr>
          <w:ilvl w:val="0"/>
          <w:numId w:val="1"/>
        </w:numPr>
        <w:tabs>
          <w:tab w:leader="none" w:pos="15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г., в связи с чем срок обжалования истек 13.07.2020 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изложенным, 17.07.2020 г. Комиссией Ростовского УФАС России проведена внеплановая проверка по жалобе ООО «Сервис- КМ» на действия комиссии Заказчика при проведении названного аукциона,</w:t>
      </w:r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которой вынесено решение по делу №061/06/67-1552/2020, согласно которому жалоба признана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чЛ 1 ст. 105 Закона, Ростовским УФАС России принято решение о возврате жалобы ООО «Сервис-КМ» от</w:t>
      </w:r>
    </w:p>
    <w:p>
      <w:pPr>
        <w:pStyle w:val="Style7"/>
        <w:numPr>
          <w:ilvl w:val="0"/>
          <w:numId w:val="3"/>
        </w:numPr>
        <w:tabs>
          <w:tab w:leader="none" w:pos="14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808" w:line="655" w:lineRule="exact"/>
        <w:ind w:left="720" w:right="10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 Приложение: - жалоба ООО «Сервис-КМ», на 2 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9532" w:line="320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- начальник отдела по борьбе с картелями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Ефимов С.А. </w:t>
      </w:r>
      <w:r>
        <w:rPr>
          <w:rStyle w:val="CharStyle14"/>
        </w:rPr>
        <w:t>(</w:t>
      </w:r>
      <w:r>
        <w:rPr>
          <w:rStyle w:val="CharStyle15"/>
        </w:rPr>
        <w:t>863</w:t>
      </w:r>
      <w:r>
        <w:rPr>
          <w:rStyle w:val="CharStyle14"/>
        </w:rPr>
        <w:t>)</w:t>
      </w:r>
      <w:r>
        <w:rPr>
          <w:rStyle w:val="CharStyle15"/>
        </w:rPr>
        <w:t>201</w:t>
      </w:r>
      <w:r>
        <w:rPr>
          <w:rStyle w:val="CharStyle14"/>
        </w:rPr>
        <w:t>-</w:t>
      </w:r>
      <w:r>
        <w:rPr>
          <w:rStyle w:val="CharStyle15"/>
        </w:rPr>
        <w:t>83-16</w:t>
      </w:r>
    </w:p>
    <w:sectPr>
      <w:type w:val="continuous"/>
      <w:pgSz w:w="11906" w:h="16838"/>
      <w:pgMar w:top="1726" w:left="972" w:right="972" w:bottom="1031" w:header="0" w:footer="3" w:gutter="349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8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21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10,5 pt,Полужирный"/>
    <w:basedOn w:val="CharStyle8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10">
    <w:name w:val="Основной текст + 20 pt,Полужирный"/>
    <w:basedOn w:val="CharStyle8"/>
    <w:rPr>
      <w:lang w:val="ru-RU" w:eastAsia="ru-RU" w:bidi="ru-RU"/>
      <w:b/>
      <w:bCs/>
      <w:sz w:val="40"/>
      <w:szCs w:val="40"/>
      <w:w w:val="100"/>
      <w:spacing w:val="0"/>
      <w:color w:val="000000"/>
      <w:position w:val="0"/>
    </w:rPr>
  </w:style>
  <w:style w:type="character" w:customStyle="1" w:styleId="CharStyle11">
    <w:name w:val="Основной текст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4">
    <w:name w:val="Основной текст (3) + Tahoma,6,5 pt"/>
    <w:basedOn w:val="CharStyle13"/>
    <w:rPr>
      <w:lang w:val="ru-RU" w:eastAsia="ru-RU" w:bidi="ru-RU"/>
      <w:sz w:val="13"/>
      <w:szCs w:val="13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5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right"/>
      <w:outlineLvl w:val="0"/>
      <w:spacing w:after="1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right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9420" w:line="18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