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738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1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22.07.2020 на действия - администрация МО Курганинский район при проведении закупки:</w:t>
        <w:tab/>
        <w:t>(извещение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1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0818500000820003302), поступившую по электронной почте,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40" w:right="1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1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40" w:right="1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9525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17" w:lineRule="exact"/>
        <w:ind w:left="4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ИП Потемкина </w:t>
      </w:r>
      <w:r>
        <w:rPr>
          <w:rStyle w:val="CharStyle5"/>
        </w:rPr>
        <w:t>Мих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аила Васильевича, поступившая в Краснодарское У ФАС России 22.07.2020, </w:t>
      </w:r>
      <w:r>
        <w:rPr>
          <w:rStyle w:val="CharStyle5"/>
        </w:rPr>
        <w:t>не подписана ЭЦП.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^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1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ч.1 ст. 6 Федерального закона от 06.04.2011 №63-Ф3 «Об электронной подписи» условия признания электронных документов* -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40" w:right="2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ч. 11 ст.105 Закона о контрактной системе, жалоба ИП Потемкина Михаила Васильевича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50" w:lineRule="exact"/>
        <w:ind w:left="40" w:right="1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37" w:left="1182" w:right="1182" w:bottom="233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93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