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10" w:after="7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«Промфокус» Рогозину А.В.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660077, Красноярск,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Авиаторов, д. 41, пом. 236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67" w:left="944" w:right="2120" w:bottom="457" w:header="0" w:footer="3" w:gutter="0"/>
          <w:rtlGutter w:val="0"/>
          <w:cols w:num="2" w:space="720" w:equalWidth="0">
            <w:col w:w="4862" w:space="782"/>
            <w:col w:w="3197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"mailto:lea@gmail.com"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lea@gmail.com</w:t>
      </w:r>
      <w:r>
        <w:fldChar w:fldCharType="end"/>
      </w:r>
    </w:p>
    <w:p>
      <w:pPr>
        <w:pStyle w:val="Style11"/>
        <w:framePr w:w="373" w:h="200" w:wrap="none" w:vAnchor="text" w:hAnchor="margin" w:x="2251" w:y="58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spacing w:line="360" w:lineRule="exact"/>
      </w:pPr>
    </w:p>
    <w:p>
      <w:pPr>
        <w:widowControl w:val="0"/>
        <w:spacing w:line="39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423" w:left="920" w:right="920" w:bottom="42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1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[уведомление]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Управлением Федеральной антимонопольной службы по Новосибирской области при предварительном рассмотрении жалобы ООО «Промфокус» на действия комиссии по осуществлению закупок ФГБОУ ВО «СГУПС» при проведении электронного аукциона №0351100001720000024 на поставку компьютерного оборудования и комплектующих для Новосибирского техникума железнодорожного транспорта - структурного подразделения университета, установлено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Данная жалоба поступила в Новосибирское УФАС России в электронной форме. В нарушение ч.5 ст. 105 Федерального закона № 44-ФЗ данная жалоба не подписана электронной цифровой подписью, следовательно, на основании п.2) ч. 11 ст. 105 Федерального закона № 44- ФЗ жалоба должна быть возвращена подавшему ее лицу без рассмотрения.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60"/>
        <w:sectPr>
          <w:type w:val="continuous"/>
          <w:pgSz w:w="11906" w:h="16838"/>
          <w:pgMar w:top="467" w:left="958" w:right="948" w:bottom="4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УФАС России принято решение о возвращении Вам данной жалобы в соответствии с п. 2) ч. 11 ст. 105 Федерального закона № 44-ФЗ.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29" w:wrap="around" w:vAnchor="text" w:hAnchor="margin" w:x="8131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5"/>
          <w:spacing w:val="0"/>
        </w:rPr>
        <w:t>Д.В. Сухоплюев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467" w:left="987" w:right="7429" w:bottom="4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w="1451" w:h="397" w:wrap="around" w:hAnchor="margin" w:x="-7372" w:y="15340"/>
        <w:widowControl w:val="0"/>
        <w:keepNext w:val="0"/>
        <w:keepLines w:val="0"/>
        <w:shd w:val="clear" w:color="auto" w:fill="auto"/>
        <w:bidi w:val="0"/>
        <w:jc w:val="both"/>
        <w:spacing w:before="0" w:after="0" w:line="197" w:lineRule="exact"/>
        <w:ind w:left="0" w:right="100" w:firstLine="0"/>
      </w:pPr>
      <w:r>
        <w:rPr>
          <w:rStyle w:val="CharStyle16"/>
          <w:spacing w:val="0"/>
        </w:rPr>
        <w:t>Д. Е. Студеникин 8 383 231-01-85</w:t>
      </w: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№214518</w:t>
      </w:r>
      <w:r>
        <w:rPr>
          <w:rStyle w:val="CharStyle19"/>
          <w:b/>
          <w:bCs/>
        </w:rPr>
        <w:t xml:space="preserve"> =»</w:t>
      </w:r>
      <w:bookmarkEnd w:id="1"/>
    </w:p>
    <w:sectPr>
      <w:type w:val="continuous"/>
      <w:pgSz w:w="11906" w:h="16838"/>
      <w:pgMar w:top="467" w:left="8394" w:right="920" w:bottom="4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1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50"/>
    </w:rPr>
  </w:style>
  <w:style w:type="character" w:customStyle="1" w:styleId="CharStyle19">
    <w:name w:val="Заголовок №1 + 18 pt,Интервал -1 pt"/>
    <w:basedOn w:val="CharStyle18"/>
    <w:rPr>
      <w:lang w:val="ru-RU" w:eastAsia="ru-RU" w:bidi="ru-RU"/>
      <w:sz w:val="36"/>
      <w:szCs w:val="36"/>
      <w:w w:val="100"/>
      <w:spacing w:val="-3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120" w:line="23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12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line="30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