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93" w:after="8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«СервисЛогистик» Медведеву М.В.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115419, г. Москва, ул. Шаболовка, д. 34, стр. 5, ком. 3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21" w:left="1002" w:right="992" w:bottom="283" w:header="0" w:footer="3" w:gutter="0"/>
          <w:rtlGutter w:val="0"/>
          <w:cols w:num="2" w:space="720" w:equalWidth="0">
            <w:col w:w="4848" w:space="1104"/>
            <w:col w:w="3960"/>
          </w:cols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"mailto:service.logistic.info@gmail.com"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service.logistic.info@gmail.com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tabs>
          <w:tab w:leader="none" w:pos="25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27" w:line="21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  <w:tab/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7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 на жалобу]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 (далее - Новосибирское УФАС России), рассмотрев Вашу жалобу (вх. № 13689э от 28.07.2020) на действия аукционной комиссии заказчика и уполномоченного учреждения при проведении электронного аукциона на поставку угля каменного для энергетических целей (извещение № 0851200000620003425), установило следующее.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рассмотрении жалобы на предмет соответствия требованиям действующего законодательства о контрактной системе было установлено, что жалоба, поданная посредством электронной почты, не соответствует требованиям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ч. 1 ст. 6 Федерального закона от 06.04.2011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согласно ч. 10 ст. 105 Закона о контрактной системе жалоба подписывается подающим ее лицом или его представителем. В соответствии с п. 2 ч. 11 ст. 105 Закона о контрактной системе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Новосибирским УФАС России установлено, что поданная вами жалоба не подписана квалифицированной электронной подписью.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  <w:sectPr>
          <w:type w:val="continuous"/>
          <w:pgSz w:w="11906" w:h="16838"/>
          <w:pgMar w:top="321" w:left="968" w:right="925" w:bottom="28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вышеизложенным, Новосибирским УФАС России принято решение о возвращении Вам жалобы в соответствии с п. 2 ч. 11 ст. 105 Закона о контрактной системе.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w="2714" w:h="1807" w:wrap="around" w:vAnchor="text" w:hAnchor="margin" w:x="7238" w:y="-7"/>
        <w:widowControl w:val="0"/>
        <w:keepNext w:val="0"/>
        <w:keepLines w:val="0"/>
        <w:shd w:val="clear" w:color="auto" w:fill="auto"/>
        <w:bidi w:val="0"/>
        <w:jc w:val="right"/>
        <w:spacing w:before="0" w:after="1246" w:line="220" w:lineRule="exact"/>
        <w:ind w:left="0" w:right="0" w:firstLine="0"/>
      </w:pPr>
      <w:r>
        <w:rPr>
          <w:rStyle w:val="CharStyle11"/>
        </w:rPr>
        <w:t>Д.В. Сухоплюев</w:t>
      </w:r>
    </w:p>
    <w:p>
      <w:pPr>
        <w:pStyle w:val="Style12"/>
        <w:framePr w:w="2714" w:h="1807" w:wrap="around" w:vAnchor="text" w:hAnchor="margin" w:x="7238" w:y="-7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100" w:right="0" w:firstLine="0"/>
      </w:pPr>
      <w:r>
        <w:rPr>
          <w:rStyle w:val="CharStyle14"/>
          <w:b w:val="0"/>
          <w:bCs w:val="0"/>
        </w:rPr>
        <w:t xml:space="preserve">№ </w:t>
      </w:r>
      <w:r>
        <w:rPr>
          <w:lang w:val="ru-RU" w:eastAsia="ru-RU" w:bidi="ru-RU"/>
          <w:w w:val="100"/>
          <w:spacing w:val="50"/>
          <w:color w:val="000000"/>
          <w:position w:val="0"/>
        </w:rPr>
        <w:t>214665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238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Алышова Анастасия Евгеньевна тел. (383) 231-01-85 отдел контроля закупок</w:t>
      </w:r>
    </w:p>
    <w:sectPr>
      <w:type w:val="continuous"/>
      <w:pgSz w:w="11906" w:h="16838"/>
      <w:pgMar w:top="321" w:left="973" w:right="7559" w:bottom="28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3">
    <w:name w:val="Основной текст (5) Exact"/>
    <w:basedOn w:val="DefaultParagraphFont"/>
    <w:link w:val="Style12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6"/>
    </w:rPr>
  </w:style>
  <w:style w:type="character" w:customStyle="1" w:styleId="CharStyle14">
    <w:name w:val="Основной текст (5) + 13 pt,Не полужирный,Интервал 0 pt Exact"/>
    <w:basedOn w:val="CharStyle13"/>
    <w:rPr>
      <w:lang w:val="ru-RU" w:eastAsia="ru-RU" w:bidi="ru-RU"/>
      <w:b/>
      <w:bCs/>
      <w:sz w:val="26"/>
      <w:szCs w:val="26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after="120" w:line="245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line="28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line="27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spacing w:before="1260"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6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