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9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«Большая Тройка»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40" w:right="0" w:firstLine="1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Седову А. В.</w:t>
      </w:r>
    </w:p>
    <w:p>
      <w:pPr>
        <w:pStyle w:val="Style3"/>
        <w:tabs>
          <w:tab w:leader="none" w:pos="594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40" w:right="20" w:firstLine="1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105066, г. Москва, ул. Новорязанская, </w:t>
      </w:r>
      <w:r>
        <w:rPr>
          <w:rStyle w:val="CharStyle5"/>
        </w:rPr>
        <w:t>ФЕДЕРАЛЬНАЯ</w:t>
        <w:tab/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31/7, корп. 23</w:t>
      </w:r>
    </w:p>
    <w:p>
      <w:pPr>
        <w:pStyle w:val="Style3"/>
        <w:tabs>
          <w:tab w:leader="none" w:pos="594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rStyle w:val="CharStyle5"/>
        </w:rPr>
        <w:t>АНТИМОНОПОЛЬНАЯ СЛУЖБА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Тел.: 8 (495) 109-03-05</w:t>
      </w:r>
    </w:p>
    <w:p>
      <w:pPr>
        <w:pStyle w:val="Style3"/>
        <w:tabs>
          <w:tab w:leader="none" w:pos="5940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"mailto:info@big3.ru"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info@big3.ru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3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6"/>
        <w:tabs>
          <w:tab w:leader="none" w:pos="25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81" w:line="18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 13802э от 29.07.2020) на действия конкурсной комиссии при проведении открытого конкурса в электронной форме на оказание услуг по корректировке территориальной схемы обращения с отходами, в том числе с твердыми коммунальными отходами Новосибирской области с актуализацией автоматизированной информационной системы «Электронная модель Территориальной схемы обращения с отходами, в том числе с твердыми коммунальными отходами Новосибирской области» (извещение № 0851200000620003314), установило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п.4 ч.8 ст.105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на действия (бездействие) заказчика должна содержать указание на обжалуемые действия (бездействие) заказчика, доводы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ч.б ст.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ч.1 ст.32 Закона о контрактной системе критериями оценки этих заявок, окончательных предложений. В своей жалобе Вы обжалуете результаты оценки заявки именно по критерию, установленному в п.4 4.1 ст.32 Закона о контрактной системе - «Квалификация участников закупки, в том числе,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8" w:left="961" w:right="961" w:bottom="33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 основании вышеизложенного, Новосибирским УФАС России рассмотрение данной жалобы по существу не представляется возможным.</w:t>
      </w:r>
    </w:p>
    <w:p>
      <w:pPr>
        <w:pStyle w:val="Style3"/>
        <w:framePr w:w="10117" w:h="259" w:wrap="none" w:vAnchor="text" w:hAnchor="margin" w:x="-10" w:y="596"/>
        <w:tabs>
          <w:tab w:leader="none" w:pos="5289" w:val="right"/>
          <w:tab w:leader="none" w:pos="5759" w:val="right"/>
          <w:tab w:leader="none" w:pos="8764" w:val="right"/>
          <w:tab w:leader="none" w:pos="10012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8"/>
        </w:rPr>
        <w:t>Зам. руководителя управления</w:t>
        <w:tab/>
      </w:r>
      <w:r>
        <w:rPr>
          <w:rStyle w:val="CharStyle9"/>
        </w:rPr>
        <w:t>,</w:t>
        <w:tab/>
        <w:t>'</w:t>
      </w:r>
      <w:r>
        <w:rPr>
          <w:rStyle w:val="CharStyle10"/>
          <w:lang w:val="ru-RU" w:eastAsia="ru-RU" w:bidi="ru-RU"/>
        </w:rPr>
        <w:tab/>
      </w:r>
      <w:r>
        <w:rPr>
          <w:rStyle w:val="CharStyle8"/>
        </w:rPr>
        <w:t>Д-В.</w:t>
        <w:tab/>
        <w:t>Сухоплюев</w:t>
      </w:r>
    </w:p>
    <w:p>
      <w:pPr>
        <w:pStyle w:val="Style6"/>
        <w:framePr w:w="9229" w:h="608" w:wrap="none" w:vAnchor="text" w:hAnchor="margin" w:x="-15" w:y="129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4492" w:firstLine="0"/>
      </w:pPr>
      <w:r>
        <w:rPr>
          <w:rStyle w:val="CharStyle11"/>
          <w:spacing w:val="0"/>
        </w:rPr>
        <w:t>Новосельцева Александра Валерьевна</w:t>
      </w:r>
    </w:p>
    <w:p>
      <w:pPr>
        <w:pStyle w:val="Style6"/>
        <w:framePr w:w="9229" w:h="608" w:wrap="none" w:vAnchor="text" w:hAnchor="margin" w:x="-15" w:y="1295"/>
        <w:tabs>
          <w:tab w:leader="none" w:pos="8250" w:val="right"/>
          <w:tab w:leader="none" w:pos="8476" w:val="right"/>
          <w:tab w:leader="none" w:pos="8716" w:val="right"/>
          <w:tab w:leader="none" w:pos="890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0" w:firstLine="0"/>
      </w:pPr>
      <w:r>
        <w:rPr>
          <w:rStyle w:val="CharStyle11"/>
          <w:spacing w:val="0"/>
        </w:rPr>
        <w:t>тел. (383) 203-54-60</w:t>
        <w:tab/>
        <w:t>.</w:t>
        <w:tab/>
        <w:t>,</w:t>
        <w:tab/>
      </w:r>
      <w:r>
        <w:rPr>
          <w:rStyle w:val="CharStyle12"/>
          <w:vertAlign w:val="subscript"/>
          <w:spacing w:val="-30"/>
        </w:rPr>
        <w:t>Q</w:t>
      </w:r>
      <w:r>
        <w:rPr>
          <w:rStyle w:val="CharStyle11"/>
          <w:lang w:val="en-US" w:eastAsia="en-US" w:bidi="en-US"/>
          <w:spacing w:val="0"/>
        </w:rPr>
        <w:tab/>
      </w:r>
      <w:r>
        <w:rPr>
          <w:rStyle w:val="CharStyle11"/>
          <w:spacing w:val="0"/>
        </w:rPr>
        <w:t>„</w:t>
      </w:r>
    </w:p>
    <w:p>
      <w:pPr>
        <w:pStyle w:val="Style6"/>
        <w:framePr w:w="9229" w:h="608" w:wrap="none" w:vAnchor="text" w:hAnchor="margin" w:x="-15" w:y="1295"/>
        <w:tabs>
          <w:tab w:leader="none" w:pos="7713" w:val="right"/>
          <w:tab w:leader="none" w:pos="8087" w:val="right"/>
          <w:tab w:leader="none" w:pos="8279" w:val="right"/>
          <w:tab w:leader="none" w:pos="8500" w:val="right"/>
          <w:tab w:leader="none" w:pos="8706" w:val="right"/>
          <w:tab w:leader="none" w:pos="8903" w:val="right"/>
          <w:tab w:leader="none" w:pos="91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0" w:firstLine="0"/>
      </w:pPr>
      <w:r>
        <w:rPr>
          <w:rStyle w:val="CharStyle11"/>
          <w:spacing w:val="0"/>
        </w:rPr>
        <w:t>отдел контроля закупок</w:t>
        <w:tab/>
      </w:r>
      <w:r>
        <w:rPr>
          <w:rStyle w:val="CharStyle11"/>
          <w:lang w:val="en-US" w:eastAsia="en-US" w:bidi="en-US"/>
          <w:spacing w:val="0"/>
        </w:rPr>
        <w:t>JN2</w:t>
        <w:tab/>
      </w:r>
      <w:r>
        <w:rPr>
          <w:rStyle w:val="CharStyle12"/>
          <w:spacing w:val="-30"/>
        </w:rPr>
        <w:t>Zi</w:t>
      </w:r>
      <w:r>
        <w:rPr>
          <w:rStyle w:val="CharStyle11"/>
          <w:lang w:val="en-US" w:eastAsia="en-US" w:bidi="en-US"/>
          <w:spacing w:val="0"/>
        </w:rPr>
        <w:tab/>
      </w:r>
      <w:r>
        <w:rPr>
          <w:rStyle w:val="CharStyle11"/>
          <w:spacing w:val="0"/>
        </w:rPr>
        <w:t>.1</w:t>
        <w:tab/>
        <w:t>тс</w:t>
        <w:tab/>
        <w:t>О</w:t>
        <w:tab/>
        <w:t>О</w:t>
        <w:tab/>
        <w:t>I/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64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315" w:left="889" w:right="889" w:bottom="31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+ 10,5 pt"/>
    <w:basedOn w:val="CharStyle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,Курсив Exact"/>
    <w:basedOn w:val="CharStyle4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0">
    <w:name w:val="Основной текст Exact"/>
    <w:basedOn w:val="CharStyle4"/>
    <w:rPr>
      <w:lang w:val="1024"/>
      <w:w w:val="100"/>
      <w:spacing w:val="0"/>
      <w:color w:val="000000"/>
      <w:position w:val="0"/>
    </w:rPr>
  </w:style>
  <w:style w:type="character" w:customStyle="1" w:styleId="CharStyle11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character" w:customStyle="1" w:styleId="CharStyle12">
    <w:name w:val="Основной текст (2) + Курсив,Интервал -1 pt Exact"/>
    <w:basedOn w:val="CharStyle7"/>
    <w:rPr>
      <w:lang w:val="en-US" w:eastAsia="en-US" w:bidi="en-US"/>
      <w:i/>
      <w:iCs/>
      <w:sz w:val="16"/>
      <w:szCs w:val="16"/>
      <w:w w:val="100"/>
      <w:spacing w:val="-27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720" w:line="202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