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532" w:after="298" w:line="240" w:lineRule="exact"/>
        <w:ind w:left="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 w:line="240" w:lineRule="exact"/>
        <w:ind w:left="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ИВАНОВСКОЙ ОБЛАСТИ</w:t>
      </w:r>
    </w:p>
    <w:p>
      <w:pPr>
        <w:pStyle w:val="Style5"/>
        <w:tabs>
          <w:tab w:leader="underscore" w:pos="3388" w:val="left"/>
          <w:tab w:leader="underscore" w:pos="100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9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rStyle w:val="CharStyle8"/>
          <w:b/>
          <w:bCs/>
        </w:rPr>
        <w:t>(Ивановское УФАС России)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65" w:line="170" w:lineRule="exact"/>
        <w:ind w:left="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153000, г. Иваново, ул. Жарова, д. 10; тел: (4932) 32-85-73, факс: (4932) 32-63-60;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1"/>
        </w:rPr>
        <w:t>to37@fas.£Cv.m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00" w:line="240" w:lineRule="exact"/>
        <w:ind w:left="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№037/06/34-398/2020 (07-15/2020-247)</w:t>
      </w:r>
    </w:p>
    <w:p>
      <w:pPr>
        <w:pStyle w:val="Style3"/>
        <w:tabs>
          <w:tab w:leader="none" w:pos="83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Дата оглашения решения: 10 июля 2020 года</w:t>
        <w:tab/>
        <w:t>город Иваново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Дата изготовления решения: 10 июля 2020 года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Ивановской области по контролю в сфере закупок (далее - Комиссия Ивановского УФАС России)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 Комиссии: Михеевой Т.А. - ВрИО руководителя управления;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 Дербенёвой А.А. - начальника отдела контроля в сфере закупок, Сафоновой М.Ю. - ведущего специалиста-эксперта отдела контроля в сфере 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отсутствие представителей ООО «ТехСтройПартнер» (далее - Заявитель), Департамента дорожного хозяйства и транспорта Ивановской области (далее - Заказчик), Департамента конкурсов и аукционов Ивановской области (информация о содержании жалобы, а также о месте и времени рассмотрения жалобы была своевременно направлена указанным лицам),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«ТехСтройПартнер» на действия Департамента дорожного хозяйства и транспорта Ивановской области при проведении электронного аукциона на выполнение работ по содержанию автомобильных дорог общего пользования в районах Ивановской области регионального и межмуниципального значения и сооружений на них (извещение №0133200001720001579), и в результате осуществления внеплановой проверки в соответствии с п. 1 ч. 15 ст.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3" w:line="299" w:lineRule="exact"/>
        <w:ind w:left="4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3"/>
        <w:numPr>
          <w:ilvl w:val="0"/>
          <w:numId w:val="1"/>
        </w:numPr>
        <w:tabs>
          <w:tab w:leader="none" w:pos="20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3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Ивановской области поступила жалоба ООО «ТехСтройПартнер» на действия Департамента дорожного хозяйства и транспорта Ивановской области при проведении электронного аукциона на выполнение работ по содержанию автомобильных дорог общего пользования в районах Ивановской области регионального и межмуниципального значения и сооружений на них (извещение №0133200001720001579).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своей жалобе Заявитель указывает, что в проекте контракта документации о закупке не содержатся положения о сроках и порядке предоставления документов, о сроках оплаты поставленных субподрядчиком, соисполнителем выполненных работ в случае привлечения к исполнению контракта субподрядчиков, соисполнителей из числа субъектов малого предпринимательства, социально некоммерческих организаций, а также при замене такого субподрядчика, соисполнителя на другого.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объяснениям Заказчика по доводам жалобы нарушений при проведении закупки допущено не было.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3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представленные ООО «ТехСтройПартнер», Департаментом дорожного хозяйства и транспорта Ивановской области документы, проведя внеплановую проверку в соответствии с ч. 15 ст. 99 Закона о контрактной системе, Комиссия Ивановского УФАС России установила следующее.</w:t>
      </w:r>
    </w:p>
    <w:p>
      <w:pPr>
        <w:pStyle w:val="Style3"/>
        <w:numPr>
          <w:ilvl w:val="0"/>
          <w:numId w:val="3"/>
        </w:numPr>
        <w:tabs>
          <w:tab w:leader="none" w:pos="206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официальном сайте единой информационной системы в сфере закупок в информационно-телекоммуникационной сети Интернет (</w:t>
      </w:r>
      <w:r>
        <w:fldChar w:fldCharType="begin"/>
      </w:r>
      <w:r>
        <w:rPr>
          <w:rStyle w:val="CharStyle12"/>
        </w:rPr>
        <w:instrText> HYPERLINK "http://www.zakupki.sov.ru" </w:instrText>
      </w:r>
      <w:r>
        <w:fldChar w:fldCharType="separate"/>
      </w:r>
      <w:r>
        <w:rPr>
          <w:rStyle w:val="Hyperlink"/>
        </w:rPr>
        <w:t>www.zakupki</w:t>
      </w:r>
      <w:r>
        <w:rPr>
          <w:rStyle w:val="Hyperlink"/>
          <w:lang w:val="ru-RU" w:eastAsia="ru-RU" w:bidi="ru-RU"/>
        </w:rPr>
        <w:t>.</w:t>
      </w:r>
      <w:r>
        <w:rPr>
          <w:rStyle w:val="Hyperlink"/>
        </w:rPr>
        <w:t>sov.ru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было размещено извещение №0133200001720001579 о проведении электронного аукциона на выполнение работ по содержанию автомобильных дорог общего пользования в районах Ивановской области регионального и межмуниципального значения и сооружений на них, а также соответствующая документация о закупке.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извещением о проведении электронного аукциона, документацией о закупке, протоколом, составленным в ходе проведения закупки: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начальная (максимальная) цена контракта - 46 569 612,42 руб.;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дата и время окончания подачи заявок - 06.07.2020 08:00;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дата проведения аукциона в электронной форме - 08.07.2020;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-согласно протоколу рассмотрения единственной заявки на участие в электронном аукционе от 08.07.2020 аукцион признан несостоявшимся в связи с тем, что по окончании срока подачи заявок на участие подана только одна заявка на участие в электронном аукционе (ООО «Дорожно-эксплуатационное предприятие №17»), которая была признана соответствующей требованиям Закона о контрактной системе и документации о закупке.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4 ст.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5 ст. 30 Закона о контрактной системе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7 ст. 30 Закона о контрактной системе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Данный порядок регламентируется Постановлением Правительства РФ от 23.12.2016 №1466 "Об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организаций" (далее - Постановление).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учетом требований Постановления в проекте контракта документации о закупке прописаны следующие положения: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2.1.28. В случае, если Подрядчик не является субъектом малого предпринимательства или социально ориентированной некоммерческой организацией, то обязан: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Привлекать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(далее - субподрядчики, соисполнители) в объеме 30 процентов от цены контракта.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В срок не более 5 рабочих дней со дня заключения договора с субподрядчиком, соисполнителем представить Заказчику:</w:t>
      </w:r>
    </w:p>
    <w:p>
      <w:pPr>
        <w:pStyle w:val="Style3"/>
        <w:numPr>
          <w:ilvl w:val="0"/>
          <w:numId w:val="5"/>
        </w:numPr>
        <w:tabs>
          <w:tab w:leader="none" w:pos="995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декларацию о принадлежности субподрядчика, соисполнителя к субъектам малого предпринимательства, социально</w:t>
        <w:tab/>
        <w:t>ориентированной некоммерческой организации, составленную в простой письменной форме, подписанную руководителем (иным уполномоченным лицом) субъекта малого предпринимательства, социально ориентированной некоммерческой организации и заверенную печатью (при наличии печати);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копию договора (договоров), заключенного с субподрядчиком, соисполнителем, заверенную подрядчиком поставщиком (подрядчиком, исполнителем).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в) В случае замены субподрядчика, соисполнителя на этапе исполнения контракта на другого субподрядчика, соисполнителя представлять Заказчику документы, указанные в подпункте «б» настоящего пункта, в течение 5 дней со дня заключения договора с новым субподрядчиком, соисполнителем.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г) В течение 10 рабочих дней со дня оплаты Подрядчиком выполненных обязательств по договору с субподрядчиком, соисполнителем представлять Заказчику следующие документы: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копии документов о приемке выполненных работ, которые являются предметом договора, заключенного между Подрядчиком и привлеченным им субподрядчиком, соисполнителем;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копии платежных поручений, подтверждающих перечисление денежных средств Подрядчиком субподрядчику, соисполнителю, в случае, если договором, заключенным между Подрядчиком и привлеченным им субподрядчиком, соисполнителем, предусмотрена оплата выполненных обязательств до срока оплаты выполненных работ, предусмотренных контрактом, заключенным с заказчиком (в ином случае указанный документ представляется Заказчику дополнительно в течение 5 дней со дня оплаты Подрядчиком обязательств, выполненных субподрядчиком, соисполнителем).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д) Оплачивать поставленные субподрядчиком, соисполнителем товары, выполненные работы (ее результаты), оказанные услуги, отдельные этапы исполнения договора, заключенного с таким субподрядчиком, соисполнителем, в течение 15 рабочих дней с даты подписания поставщиком (подрядчиком, исполнителем) документа о приемке товара, выполненной работы (ее результатов), оказанной услуги, отдельных этапов исполнения договора.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е) Нести гражданско-правовую ответственность перед Заказчиком за неисполнение или ненадлежащее исполнение условия о привлечении к исполнению контракта субподрядчиков, соисполнителей, в том числе:</w:t>
      </w:r>
      <w:r>
        <w:br w:type="page"/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 представление документов, указанных в подпунктах «б» - «г» настоящего контракта, содержащих недостоверные сведения, либо их непредставление или представление таких документов с нарушением установленных сроков;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 непривлечение субподрядчиков, соисполнителей в объеме, установленном в контракте.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условия привлечения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отражены в проекте контракта документации о закупке в соответствии с законодательно установленными требованиями.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302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изложенное, Комиссия Ивановского УФАС России приходит к выводу, что документация о закупке утверждена Заказчиком с соблюдением норм, предусмотренных Законом о контрактной системе и Постановлением №1466.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ст. 99, 106 Закона о контрактной системе, Комиссия Ивановского УФАС России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240"/>
        <w:ind w:left="452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РЕШИЛА: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«ТехСтройПартнер» на действия Департамента дорожного хозяйства и транспорта Ивановской области при проведении электронного аукциона на выполнение работ по содержанию автомобильных дорог общего пользования в районах Ивановской области регионального и межмуниципального значения и сооружений на них (извещение №0133200001720001579)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70" w:line="302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может быть даты его принятия.</w:t>
      </w:r>
    </w:p>
    <w:p>
      <w:pPr>
        <w:pStyle w:val="Style3"/>
        <w:framePr w:h="230" w:wrap="around" w:vAnchor="text" w:hAnchor="margin" w:x="8441" w:y="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4"/>
          <w:spacing w:val="0"/>
        </w:rPr>
        <w:t>Т.А. Михеева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90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3"/>
        <w:framePr w:h="238" w:wrap="around" w:vAnchor="text" w:hAnchor="margin" w:x="8229" w:y="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4"/>
          <w:spacing w:val="0"/>
        </w:rPr>
        <w:t>А.А. Дербенёва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61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782" w:left="828" w:right="799" w:bottom="164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03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25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6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"/>
    <w:basedOn w:val="CharStyle7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60"/>
    </w:rPr>
  </w:style>
  <w:style w:type="paragraph" w:customStyle="1" w:styleId="Style3">
    <w:name w:val="Основной текст"/>
    <w:basedOn w:val="Normal"/>
    <w:link w:val="CharStyle7"/>
    <w:pPr>
      <w:widowControl w:val="0"/>
      <w:shd w:val="clear" w:color="auto" w:fill="FFFFFF"/>
      <w:jc w:val="center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540" w:after="30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both"/>
      <w:spacing w:before="300" w:after="300" w:line="0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outlineLvl w:val="0"/>
      <w:spacing w:after="240" w:line="302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6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