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Заявитель:</w:t>
      </w:r>
    </w:p>
    <w:p>
      <w:pPr>
        <w:pStyle w:val="Style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ООО «Парадиз-М»</w:t>
      </w:r>
    </w:p>
    <w:p>
      <w:pPr>
        <w:pStyle w:val="Style3"/>
        <w:widowControl w:val="0"/>
        <w:keepNext w:val="0"/>
        <w:keepLines w:val="0"/>
        <w:shd w:val="clear" w:color="auto" w:fill="auto"/>
        <w:bidi w:val="0"/>
        <w:jc w:val="left"/>
        <w:spacing w:before="0" w:after="0"/>
        <w:ind w:left="20" w:right="260" w:firstLine="0"/>
      </w:pPr>
      <w:r>
        <w:rPr>
          <w:lang w:val="ru-RU" w:eastAsia="ru-RU" w:bidi="ru-RU"/>
          <w:sz w:val="24"/>
          <w:szCs w:val="24"/>
          <w:w w:val="100"/>
          <w:spacing w:val="0"/>
          <w:color w:val="000000"/>
          <w:position w:val="0"/>
        </w:rPr>
        <w:t xml:space="preserve">386101, РИ, г. Назрань, ул. Гайрбек-Хаджи, </w:t>
      </w:r>
      <w:r>
        <w:rPr>
          <w:rStyle w:val="CharStyle5"/>
        </w:rPr>
        <w:t>Д. з</w:t>
      </w:r>
    </w:p>
    <w:p>
      <w:pPr>
        <w:pStyle w:val="Style6"/>
        <w:widowControl w:val="0"/>
        <w:keepNext w:val="0"/>
        <w:keepLines w:val="0"/>
        <w:shd w:val="clear" w:color="auto" w:fill="auto"/>
        <w:bidi w:val="0"/>
        <w:jc w:val="left"/>
        <w:spacing w:before="0" w:after="297"/>
        <w:ind w:left="20" w:right="0" w:firstLine="0"/>
      </w:pPr>
      <w:r>
        <w:fldChar w:fldCharType="begin"/>
      </w:r>
      <w:r>
        <w:rPr>
          <w:rStyle w:val="CharStyle8"/>
        </w:rPr>
        <w:instrText> HYPERLINK "mailto:paradiz-m@mail.ru" </w:instrText>
      </w:r>
      <w:r>
        <w:fldChar w:fldCharType="separate"/>
      </w:r>
      <w:r>
        <w:rPr>
          <w:rStyle w:val="Hyperlink"/>
        </w:rPr>
        <w:t>paradiz-m@mail.ru</w:t>
      </w:r>
      <w:r>
        <w:fldChar w:fldCharType="end"/>
      </w:r>
    </w:p>
    <w:p>
      <w:pPr>
        <w:pStyle w:val="Style3"/>
        <w:widowControl w:val="0"/>
        <w:keepNext w:val="0"/>
        <w:keepLines w:val="0"/>
        <w:shd w:val="clear" w:color="auto" w:fill="auto"/>
        <w:bidi w:val="0"/>
        <w:jc w:val="left"/>
        <w:spacing w:before="0" w:after="0" w:line="324" w:lineRule="exact"/>
        <w:ind w:left="20" w:right="0" w:firstLine="0"/>
      </w:pPr>
      <w:r>
        <w:rPr>
          <w:lang w:val="ru-RU" w:eastAsia="ru-RU" w:bidi="ru-RU"/>
          <w:sz w:val="24"/>
          <w:szCs w:val="24"/>
          <w:w w:val="100"/>
          <w:spacing w:val="0"/>
          <w:color w:val="000000"/>
          <w:position w:val="0"/>
        </w:rPr>
        <w:t>Заказчик:</w:t>
      </w:r>
    </w:p>
    <w:p>
      <w:pPr>
        <w:pStyle w:val="Style3"/>
        <w:widowControl w:val="0"/>
        <w:keepNext w:val="0"/>
        <w:keepLines w:val="0"/>
        <w:shd w:val="clear" w:color="auto" w:fill="auto"/>
        <w:bidi w:val="0"/>
        <w:jc w:val="left"/>
        <w:spacing w:before="0" w:after="0" w:line="324" w:lineRule="exact"/>
        <w:ind w:left="20" w:right="260" w:firstLine="0"/>
        <w:sectPr>
          <w:footnotePr>
            <w:pos w:val="pageBottom"/>
            <w:numFmt w:val="decimal"/>
            <w:numRestart w:val="continuous"/>
          </w:footnotePr>
          <w:type w:val="continuous"/>
          <w:pgSz w:w="11906" w:h="16838"/>
          <w:pgMar w:top="968" w:left="5631" w:right="778" w:bottom="979" w:header="0" w:footer="3" w:gutter="0"/>
          <w:rtlGutter w:val="0"/>
          <w:cols w:space="720"/>
          <w:noEndnote/>
          <w:docGrid w:linePitch="360"/>
        </w:sectPr>
      </w:pPr>
      <w:r>
        <w:rPr>
          <w:lang w:val="ru-RU" w:eastAsia="ru-RU" w:bidi="ru-RU"/>
          <w:sz w:val="24"/>
          <w:szCs w:val="24"/>
          <w:w w:val="100"/>
          <w:spacing w:val="0"/>
          <w:color w:val="000000"/>
          <w:position w:val="0"/>
        </w:rPr>
        <w:t xml:space="preserve">ГБУ «Республиканский онкологический диспансер» им. Г.М. Ведзижева 386124, РИ, с.п. Плиево, ул. Больничная, 4 </w:t>
      </w:r>
      <w:r>
        <w:rPr>
          <w:rStyle w:val="CharStyle9"/>
          <w:lang w:val="en-US" w:eastAsia="en-US" w:bidi="en-US"/>
        </w:rPr>
        <w:t xml:space="preserve">gburod </w:t>
      </w:r>
      <w:r>
        <w:fldChar w:fldCharType="begin"/>
      </w:r>
      <w:r>
        <w:rPr>
          <w:rStyle w:val="CharStyle9"/>
        </w:rPr>
        <w:instrText> HYPERLINK "mailto:ri@mail.ru" </w:instrText>
      </w:r>
      <w:r>
        <w:fldChar w:fldCharType="separate"/>
      </w:r>
      <w:r>
        <w:rPr>
          <w:rStyle w:val="Hyperlink"/>
          <w:lang w:val="en-US" w:eastAsia="en-US" w:bidi="en-US"/>
        </w:rPr>
        <w:t>ri@mail.ru</w:t>
      </w:r>
      <w:r>
        <w:fldChar w:fldCharType="end"/>
      </w:r>
    </w:p>
    <w:p>
      <w:pPr>
        <w:widowControl w:val="0"/>
        <w:spacing w:before="38" w:after="3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317" w:lineRule="exact"/>
        <w:ind w:left="4520" w:right="0" w:firstLine="0"/>
      </w:pPr>
      <w:r>
        <w:rPr>
          <w:lang w:val="ru-RU" w:eastAsia="ru-RU" w:bidi="ru-RU"/>
          <w:sz w:val="24"/>
          <w:szCs w:val="24"/>
          <w:w w:val="100"/>
          <w:spacing w:val="0"/>
          <w:color w:val="000000"/>
          <w:position w:val="0"/>
        </w:rPr>
        <w:t>Уполномоченный орган:</w:t>
      </w:r>
    </w:p>
    <w:p>
      <w:pPr>
        <w:pStyle w:val="Style3"/>
        <w:widowControl w:val="0"/>
        <w:keepNext w:val="0"/>
        <w:keepLines w:val="0"/>
        <w:shd w:val="clear" w:color="auto" w:fill="auto"/>
        <w:bidi w:val="0"/>
        <w:jc w:val="left"/>
        <w:spacing w:before="0" w:after="302" w:line="317" w:lineRule="exact"/>
        <w:ind w:left="4520" w:right="40" w:firstLine="0"/>
      </w:pPr>
      <w:r>
        <w:rPr>
          <w:lang w:val="ru-RU" w:eastAsia="ru-RU" w:bidi="ru-RU"/>
          <w:sz w:val="24"/>
          <w:szCs w:val="24"/>
          <w:w w:val="100"/>
          <w:spacing w:val="0"/>
          <w:color w:val="000000"/>
          <w:position w:val="0"/>
        </w:rPr>
        <w:t xml:space="preserve">Комитет государственного заказа Республики Ингушетия 386001, РИ, г.Магас, пр-кт И. Зязикова, 10 </w:t>
      </w:r>
      <w:r>
        <w:fldChar w:fldCharType="begin"/>
      </w:r>
      <w:r>
        <w:rPr>
          <w:color w:val="000000"/>
        </w:rPr>
        <w:instrText> HYPERLINK "mailto:zakazri@mail.ru" </w:instrText>
      </w:r>
      <w:r>
        <w:fldChar w:fldCharType="separate"/>
      </w:r>
      <w:r>
        <w:rPr>
          <w:rStyle w:val="Hyperlink"/>
          <w:lang w:val="en-US" w:eastAsia="en-US" w:bidi="en-US"/>
          <w:sz w:val="24"/>
          <w:szCs w:val="24"/>
          <w:w w:val="100"/>
          <w:spacing w:val="0"/>
          <w:position w:val="0"/>
        </w:rPr>
        <w:t>zakazri@mail.ru</w:t>
      </w:r>
      <w:r>
        <w:fldChar w:fldCharType="end"/>
      </w:r>
    </w:p>
    <w:p>
      <w:pPr>
        <w:pStyle w:val="Style3"/>
        <w:widowControl w:val="0"/>
        <w:keepNext w:val="0"/>
        <w:keepLines w:val="0"/>
        <w:shd w:val="clear" w:color="auto" w:fill="auto"/>
        <w:bidi w:val="0"/>
        <w:jc w:val="left"/>
        <w:spacing w:before="0" w:after="7" w:line="240" w:lineRule="exact"/>
        <w:ind w:left="4520" w:right="0" w:firstLine="0"/>
      </w:pPr>
      <w:r>
        <w:rPr>
          <w:lang w:val="ru-RU" w:eastAsia="ru-RU" w:bidi="ru-RU"/>
          <w:sz w:val="24"/>
          <w:szCs w:val="24"/>
          <w:w w:val="100"/>
          <w:spacing w:val="0"/>
          <w:color w:val="000000"/>
          <w:position w:val="0"/>
        </w:rPr>
        <w:t>Электронная торговая площадка:</w:t>
      </w:r>
    </w:p>
    <w:p>
      <w:pPr>
        <w:pStyle w:val="Style3"/>
        <w:widowControl w:val="0"/>
        <w:keepNext w:val="0"/>
        <w:keepLines w:val="0"/>
        <w:shd w:val="clear" w:color="auto" w:fill="auto"/>
        <w:bidi w:val="0"/>
        <w:jc w:val="left"/>
        <w:spacing w:before="0" w:after="607" w:line="240" w:lineRule="exact"/>
        <w:ind w:left="4520" w:right="0" w:firstLine="0"/>
      </w:pPr>
      <w:r>
        <w:rPr>
          <w:lang w:val="ru-RU" w:eastAsia="ru-RU" w:bidi="ru-RU"/>
          <w:sz w:val="24"/>
          <w:szCs w:val="24"/>
          <w:w w:val="100"/>
          <w:spacing w:val="0"/>
          <w:color w:val="000000"/>
          <w:position w:val="0"/>
        </w:rPr>
        <w:t xml:space="preserve">АО «ЕЭТП» </w:t>
      </w:r>
      <w:r>
        <w:rPr>
          <w:lang w:val="en-US" w:eastAsia="en-US" w:bidi="en-US"/>
          <w:sz w:val="24"/>
          <w:szCs w:val="24"/>
          <w:w w:val="100"/>
          <w:spacing w:val="0"/>
          <w:color w:val="000000"/>
          <w:position w:val="0"/>
        </w:rPr>
        <w:t>(</w:t>
      </w:r>
      <w:r>
        <w:fldChar w:fldCharType="begin"/>
      </w:r>
      <w:r>
        <w:rPr>
          <w:color w:val="000000"/>
        </w:rPr>
        <w:instrText> HYPERLINK "http://roseltorg.ru" </w:instrText>
      </w:r>
      <w:r>
        <w:fldChar w:fldCharType="separate"/>
      </w:r>
      <w:r>
        <w:rPr>
          <w:rStyle w:val="Hyperlink"/>
          <w:lang w:val="en-US" w:eastAsia="en-US" w:bidi="en-US"/>
          <w:sz w:val="24"/>
          <w:szCs w:val="24"/>
          <w:w w:val="100"/>
          <w:spacing w:val="0"/>
          <w:position w:val="0"/>
        </w:rPr>
        <w:t>http://roseltorg.ru</w:t>
      </w:r>
      <w:r>
        <w:fldChar w:fldCharType="end"/>
      </w:r>
      <w:r>
        <w:rPr>
          <w:lang w:val="en-US" w:eastAsia="en-US" w:bidi="en-US"/>
          <w:sz w:val="24"/>
          <w:szCs w:val="24"/>
          <w:w w:val="100"/>
          <w:spacing w:val="0"/>
          <w:color w:val="000000"/>
          <w:position w:val="0"/>
        </w:rPr>
        <w:t>)</w:t>
      </w:r>
    </w:p>
    <w:p>
      <w:pPr>
        <w:pStyle w:val="Style3"/>
        <w:widowControl w:val="0"/>
        <w:keepNext w:val="0"/>
        <w:keepLines w:val="0"/>
        <w:shd w:val="clear" w:color="auto" w:fill="auto"/>
        <w:bidi w:val="0"/>
        <w:jc w:val="left"/>
        <w:spacing w:before="0" w:after="304"/>
        <w:ind w:left="2860" w:right="2060" w:firstLine="1760"/>
      </w:pPr>
      <w:r>
        <w:rPr>
          <w:lang w:val="ru-RU" w:eastAsia="ru-RU" w:bidi="ru-RU"/>
          <w:sz w:val="24"/>
          <w:szCs w:val="24"/>
          <w:w w:val="100"/>
          <w:spacing w:val="0"/>
          <w:color w:val="000000"/>
          <w:position w:val="0"/>
        </w:rPr>
        <w:t>РЕШЕНИЕ по делу 006/06/64-418/2020 о нарушении законодательства о контрактной системе</w:t>
      </w:r>
    </w:p>
    <w:p>
      <w:pPr>
        <w:pStyle w:val="Style3"/>
        <w:widowControl w:val="0"/>
        <w:keepNext w:val="0"/>
        <w:keepLines w:val="0"/>
        <w:shd w:val="clear" w:color="auto" w:fill="auto"/>
        <w:bidi w:val="0"/>
        <w:jc w:val="right"/>
        <w:spacing w:before="0" w:after="310" w:line="240" w:lineRule="exact"/>
        <w:ind w:left="0" w:right="40" w:firstLine="0"/>
      </w:pPr>
      <w:r>
        <w:rPr>
          <w:lang w:val="ru-RU" w:eastAsia="ru-RU" w:bidi="ru-RU"/>
          <w:sz w:val="24"/>
          <w:szCs w:val="24"/>
          <w:w w:val="100"/>
          <w:spacing w:val="0"/>
          <w:color w:val="000000"/>
          <w:position w:val="0"/>
        </w:rPr>
        <w:t>г. Назрань</w:t>
      </w:r>
    </w:p>
    <w:p>
      <w:pPr>
        <w:pStyle w:val="Style3"/>
        <w:widowControl w:val="0"/>
        <w:keepNext w:val="0"/>
        <w:keepLines w:val="0"/>
        <w:shd w:val="clear" w:color="auto" w:fill="auto"/>
        <w:bidi w:val="0"/>
        <w:jc w:val="left"/>
        <w:spacing w:before="0" w:after="237"/>
        <w:ind w:left="20" w:right="400" w:firstLine="0"/>
      </w:pPr>
      <w:r>
        <w:rPr>
          <w:lang w:val="ru-RU" w:eastAsia="ru-RU" w:bidi="ru-RU"/>
          <w:sz w:val="24"/>
          <w:szCs w:val="24"/>
          <w:w w:val="100"/>
          <w:spacing w:val="0"/>
          <w:color w:val="000000"/>
          <w:position w:val="0"/>
        </w:rPr>
        <w:t>Резолютивная часть решения объявлена 10 июля 2020 года В полном объеме решение изготовлено 15 июля 2020 года</w:t>
      </w:r>
    </w:p>
    <w:p>
      <w:pPr>
        <w:pStyle w:val="Style3"/>
        <w:widowControl w:val="0"/>
        <w:keepNext w:val="0"/>
        <w:keepLines w:val="0"/>
        <w:shd w:val="clear" w:color="auto" w:fill="auto"/>
        <w:bidi w:val="0"/>
        <w:jc w:val="both"/>
        <w:spacing w:before="0" w:after="0" w:line="324" w:lineRule="exact"/>
        <w:ind w:left="20" w:right="40" w:firstLine="560"/>
      </w:pPr>
      <w:r>
        <w:rPr>
          <w:lang w:val="ru-RU" w:eastAsia="ru-RU" w:bidi="ru-RU"/>
          <w:sz w:val="24"/>
          <w:szCs w:val="24"/>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3"/>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Председатель комиссии: Р.В. Евлоев - заместитель руководителя Управления;</w:t>
      </w:r>
    </w:p>
    <w:p>
      <w:pPr>
        <w:pStyle w:val="Style3"/>
        <w:widowControl w:val="0"/>
        <w:keepNext w:val="0"/>
        <w:keepLines w:val="0"/>
        <w:shd w:val="clear" w:color="auto" w:fill="auto"/>
        <w:bidi w:val="0"/>
        <w:jc w:val="both"/>
        <w:spacing w:before="0" w:after="0"/>
        <w:ind w:left="20" w:right="40" w:firstLine="560"/>
      </w:pPr>
      <w:r>
        <w:rPr>
          <w:lang w:val="ru-RU" w:eastAsia="ru-RU" w:bidi="ru-RU"/>
          <w:sz w:val="24"/>
          <w:szCs w:val="24"/>
          <w:w w:val="100"/>
          <w:spacing w:val="0"/>
          <w:color w:val="000000"/>
          <w:position w:val="0"/>
        </w:rPr>
        <w:t>Члены комиссии: М.М. Точиев - главный специалист-эксперт Управления, И.И. Балкоев - государственный инспектор Управления;</w:t>
      </w:r>
    </w:p>
    <w:p>
      <w:pPr>
        <w:pStyle w:val="Style3"/>
        <w:widowControl w:val="0"/>
        <w:keepNext w:val="0"/>
        <w:keepLines w:val="0"/>
        <w:shd w:val="clear" w:color="auto" w:fill="auto"/>
        <w:bidi w:val="0"/>
        <w:jc w:val="both"/>
        <w:spacing w:before="0" w:after="0"/>
        <w:ind w:left="20" w:right="40" w:firstLine="560"/>
      </w:pPr>
      <w:r>
        <w:rPr>
          <w:lang w:val="ru-RU" w:eastAsia="ru-RU" w:bidi="ru-RU"/>
          <w:sz w:val="24"/>
          <w:szCs w:val="24"/>
          <w:w w:val="100"/>
          <w:spacing w:val="0"/>
          <w:color w:val="000000"/>
          <w:position w:val="0"/>
        </w:rPr>
        <w:t xml:space="preserve">в присутствии представителей: ООО «Парадиз-М» - </w:t>
      </w:r>
      <w:r>
        <w:rPr>
          <w:lang w:val="en-US" w:eastAsia="en-US" w:bidi="en-US"/>
          <w:sz w:val="24"/>
          <w:szCs w:val="24"/>
          <w:w w:val="100"/>
          <w:spacing w:val="0"/>
          <w:color w:val="000000"/>
          <w:position w:val="0"/>
        </w:rPr>
        <w:t xml:space="preserve">X.JI </w:t>
      </w:r>
      <w:r>
        <w:rPr>
          <w:lang w:val="ru-RU" w:eastAsia="ru-RU" w:bidi="ru-RU"/>
          <w:sz w:val="24"/>
          <w:szCs w:val="24"/>
          <w:w w:val="100"/>
          <w:spacing w:val="0"/>
          <w:color w:val="000000"/>
          <w:position w:val="0"/>
        </w:rPr>
        <w:t>Курскиевой и М.С. Дзейтова (по доверенности; далее - Заявитель), ГБУ «Республиканский онкологический диспансер» им. Г.М. Ведзижева - А.И. Горчханова (по доверенности; далее - Заказчик),</w:t>
      </w:r>
    </w:p>
    <w:p>
      <w:pPr>
        <w:pStyle w:val="Style3"/>
        <w:tabs>
          <w:tab w:leader="none" w:pos="5069" w:val="left"/>
        </w:tabs>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в отсутствии представителей:</w:t>
        <w:tab/>
        <w:t>Комитета государственного заказа</w:t>
      </w:r>
    </w:p>
    <w:p>
      <w:pPr>
        <w:pStyle w:val="Style3"/>
        <w:widowControl w:val="0"/>
        <w:keepNext w:val="0"/>
        <w:keepLines w:val="0"/>
        <w:shd w:val="clear" w:color="auto" w:fill="auto"/>
        <w:bidi w:val="0"/>
        <w:jc w:val="left"/>
        <w:spacing w:before="0" w:after="92"/>
        <w:ind w:left="20" w:right="0" w:firstLine="0"/>
      </w:pPr>
      <w:r>
        <w:rPr>
          <w:lang w:val="ru-RU" w:eastAsia="ru-RU" w:bidi="ru-RU"/>
          <w:sz w:val="24"/>
          <w:szCs w:val="24"/>
          <w:w w:val="100"/>
          <w:spacing w:val="0"/>
          <w:color w:val="000000"/>
          <w:position w:val="0"/>
        </w:rPr>
        <w:t>Республики Ингушетия (далее - Уполномоченный орган).</w:t>
      </w:r>
    </w:p>
    <w:p>
      <w:pPr>
        <w:pStyle w:val="Style10"/>
        <w:widowControl w:val="0"/>
        <w:keepNext/>
        <w:keepLines/>
        <w:shd w:val="clear" w:color="auto" w:fill="auto"/>
        <w:bidi w:val="0"/>
        <w:spacing w:before="0" w:after="0" w:line="280" w:lineRule="exact"/>
        <w:ind w:left="0" w:right="40" w:firstLine="0"/>
      </w:pPr>
      <w:bookmarkStart w:id="0" w:name="bookmark0"/>
      <w:r>
        <w:rPr>
          <w:rStyle w:val="CharStyle12"/>
          <w:b/>
          <w:bCs/>
        </w:rPr>
        <w:t>0003Ш</w:t>
      </w:r>
      <w:bookmarkEnd w:id="0"/>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Рассмотрев жалобу Заявителя на действия (бездействия) Заказчика при проведении процедуры закупки способом электронного аукциона № 0114500000820000944 на поставку медицинского оборудования (далее - Закупка), выразившиеся в нарушении норм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проведя внеплановую проверку в соответствии со статьями 99 и 106 Закона о контрактной системе,</w:t>
      </w:r>
    </w:p>
    <w:p>
      <w:pPr>
        <w:pStyle w:val="Style3"/>
        <w:widowControl w:val="0"/>
        <w:keepNext w:val="0"/>
        <w:keepLines w:val="0"/>
        <w:shd w:val="clear" w:color="auto" w:fill="auto"/>
        <w:bidi w:val="0"/>
        <w:jc w:val="left"/>
        <w:spacing w:before="0" w:after="0"/>
        <w:ind w:left="432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Уполномоченным органом единой информационной системе в сети Интернет по размещению информации о размещении заказов </w:t>
      </w:r>
      <w:r>
        <w:fldChar w:fldCharType="begin"/>
      </w:r>
      <w:r>
        <w:rPr>
          <w:rStyle w:val="CharStyle9"/>
        </w:rPr>
        <w:instrText> HYPERLINK "http://www.zakupki.gov.ru" </w:instrText>
      </w:r>
      <w:r>
        <w:fldChar w:fldCharType="separate"/>
      </w:r>
      <w:r>
        <w:rPr>
          <w:rStyle w:val="Hyperlink"/>
          <w:lang w:val="en-US" w:eastAsia="en-US" w:bidi="en-US"/>
        </w:rPr>
        <w:t>www.zakupki</w:t>
      </w:r>
      <w:r>
        <w:rPr>
          <w:rStyle w:val="Hyperlink"/>
        </w:rPr>
        <w:t>.</w:t>
      </w:r>
      <w:r>
        <w:rPr>
          <w:rStyle w:val="Hyperlink"/>
          <w:lang w:val="en-US" w:eastAsia="en-US" w:bidi="en-US"/>
        </w:rPr>
        <w:t>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(далее - ЕИС) размещены извещение и документация о проведении Закупки.</w:t>
      </w:r>
    </w:p>
    <w:p>
      <w:pPr>
        <w:pStyle w:val="Style3"/>
        <w:numPr>
          <w:ilvl w:val="0"/>
          <w:numId w:val="1"/>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В пункте 13 технического задания: «Подготовка помещений и коммуникаций под монтаж МР-томографа», при этом информации исходных данных о состоянии подготовки помещений в документации отсутствует.</w:t>
      </w:r>
    </w:p>
    <w:p>
      <w:pPr>
        <w:pStyle w:val="Style3"/>
        <w:numPr>
          <w:ilvl w:val="0"/>
          <w:numId w:val="1"/>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Заказчиком в Техническом задании установлены требования к качеству, техническим и функциональным характеристикам, соответствующие единственному производителю </w:t>
      </w:r>
      <w:r>
        <w:rPr>
          <w:lang w:val="en-US" w:eastAsia="en-US" w:bidi="en-US"/>
          <w:sz w:val="24"/>
          <w:szCs w:val="24"/>
          <w:w w:val="100"/>
          <w:spacing w:val="0"/>
          <w:color w:val="000000"/>
          <w:position w:val="0"/>
        </w:rPr>
        <w:t>Philips.</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основании пункта 3.32 Приказа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pPr>
        <w:pStyle w:val="Style3"/>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На заседании Комиссии 09.07.2020г. объявлен перерыв до 10.07.2020г.</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результате рассмотрения жалобы и осуществления в соответствии с частью 15 статьи 99 Закона о контрактной системе внеплановой проверки Комиссия установила следующее.</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3"/>
        <w:numPr>
          <w:ilvl w:val="0"/>
          <w:numId w:val="3"/>
        </w:numPr>
        <w:tabs>
          <w:tab w:leader="none" w:pos="1446" w:val="left"/>
        </w:tabs>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извещение об осуществлении закупки размещено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sz w:val="24"/>
          <w:szCs w:val="24"/>
          <w:w w:val="100"/>
          <w:spacing w:val="0"/>
          <w:position w:val="0"/>
        </w:rPr>
        <w:t>www.zakupki.gov.ru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- 03.07.2020г.;</w:t>
      </w:r>
    </w:p>
    <w:p>
      <w:pPr>
        <w:pStyle w:val="Style3"/>
        <w:numPr>
          <w:ilvl w:val="0"/>
          <w:numId w:val="3"/>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способ определения поставщика (подрядчика, исполнителя) - электронный аукцион;</w:t>
      </w:r>
    </w:p>
    <w:p>
      <w:pPr>
        <w:pStyle w:val="Style3"/>
        <w:numPr>
          <w:ilvl w:val="0"/>
          <w:numId w:val="3"/>
        </w:numPr>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 xml:space="preserve"> начальная (максимальная) цена контракта - 124 205 256,25 рублей;</w:t>
      </w:r>
    </w:p>
    <w:p>
      <w:pPr>
        <w:pStyle w:val="Style3"/>
        <w:numPr>
          <w:ilvl w:val="0"/>
          <w:numId w:val="3"/>
        </w:numPr>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 xml:space="preserve"> дата и время окончания подачи заявок - 13.07.2020г, 09:00;</w:t>
      </w:r>
    </w:p>
    <w:p>
      <w:pPr>
        <w:pStyle w:val="Style3"/>
        <w:numPr>
          <w:ilvl w:val="0"/>
          <w:numId w:val="3"/>
        </w:numPr>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 xml:space="preserve"> дата проведения аукциона в электронной форме - 15.07.2020г.;</w:t>
      </w:r>
    </w:p>
    <w:p>
      <w:pPr>
        <w:pStyle w:val="Style3"/>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Исследовав имеющейся материалы, Комиссия Управления пришла к</w:t>
      </w:r>
    </w:p>
    <w:p>
      <w:pPr>
        <w:pStyle w:val="Style3"/>
        <w:widowControl w:val="0"/>
        <w:keepNext w:val="0"/>
        <w:keepLines w:val="0"/>
        <w:shd w:val="clear" w:color="auto" w:fill="auto"/>
        <w:bidi w:val="0"/>
        <w:jc w:val="both"/>
        <w:spacing w:before="0" w:after="0"/>
        <w:ind w:left="20" w:right="0" w:firstLine="0"/>
      </w:pPr>
      <w:r>
        <w:rPr>
          <w:lang w:val="ru-RU" w:eastAsia="ru-RU" w:bidi="ru-RU"/>
          <w:sz w:val="24"/>
          <w:szCs w:val="24"/>
          <w:w w:val="100"/>
          <w:spacing w:val="0"/>
          <w:color w:val="000000"/>
          <w:position w:val="0"/>
        </w:rPr>
        <w:t>следующим выводам.</w:t>
      </w:r>
    </w:p>
    <w:p>
      <w:pPr>
        <w:pStyle w:val="Style3"/>
        <w:numPr>
          <w:ilvl w:val="0"/>
          <w:numId w:val="5"/>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Согласно первому доводу жалобы в пункте 13 технического задания: «Подготовка помещений и коммуникаций под монтаж МР-томографа», при этом информации исходных данных о состоянии подготовки помещений в документации отсутствует.</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При этом пунктом 13 технического задания также указано, что: «Дополнительное требование с обоснованием заказчика. Для монтажа и эксплуатации комплекса оборудования необходима специальная подготовка помещений и коммуникаций».</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Таким образом, для монтажа и эксплуатации комплекса оборудования поставщику необходимо подготовка помещений Заказчика.</w:t>
      </w:r>
    </w:p>
    <w:p>
      <w:pPr>
        <w:pStyle w:val="Style13"/>
        <w:widowControl w:val="0"/>
        <w:keepNext w:val="0"/>
        <w:keepLines w:val="0"/>
        <w:shd w:val="clear" w:color="auto" w:fill="auto"/>
        <w:bidi w:val="0"/>
        <w:spacing w:before="0" w:after="0"/>
        <w:ind w:left="20" w:right="20"/>
      </w:pPr>
      <w:r>
        <w:rPr>
          <w:rStyle w:val="CharStyle15"/>
          <w:i w:val="0"/>
          <w:iCs w:val="0"/>
        </w:rPr>
        <w:t xml:space="preserve">Между тем, пунктом 7.1 проекта контракта предусмотрено, что: </w:t>
      </w:r>
      <w:r>
        <w:rPr>
          <w:lang w:val="ru-RU" w:eastAsia="ru-RU" w:bidi="ru-RU"/>
          <w:sz w:val="24"/>
          <w:szCs w:val="24"/>
          <w:w w:val="100"/>
          <w:spacing w:val="0"/>
          <w:color w:val="000000"/>
          <w:position w:val="0"/>
        </w:rPr>
        <w:t>«Услуги выполняются Поставщиком лично, либо с привлечением соисполнителей».</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 свою очередь, рассмотрение вопроса о необходимости определения исходного состояния подготавливаемых помещений не входит в компетенцию Комиссии Управления.</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основании вышеизложенного, Комиссия признает довод жалобы необоснованным.</w:t>
      </w:r>
    </w:p>
    <w:p>
      <w:pPr>
        <w:pStyle w:val="Style3"/>
        <w:numPr>
          <w:ilvl w:val="0"/>
          <w:numId w:val="5"/>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Согласно пункту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наименование и описание объекта закупки и условия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Пунктом 1 части 1 статьи 33 Закона о контрактной системе установлено, что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w:t>
      </w:r>
    </w:p>
    <w:p>
      <w:pPr>
        <w:pStyle w:val="Style3"/>
        <w:widowControl w:val="0"/>
        <w:keepNext w:val="0"/>
        <w:keepLines w:val="0"/>
        <w:shd w:val="clear" w:color="auto" w:fill="auto"/>
        <w:bidi w:val="0"/>
        <w:jc w:val="both"/>
        <w:spacing w:before="0" w:after="0" w:line="324" w:lineRule="exact"/>
        <w:ind w:left="140" w:right="40" w:firstLine="0"/>
      </w:pPr>
      <w:r>
        <w:rPr>
          <w:lang w:val="ru-RU" w:eastAsia="ru-RU" w:bidi="ru-RU"/>
          <w:sz w:val="24"/>
          <w:szCs w:val="24"/>
          <w:w w:val="100"/>
          <w:spacing w:val="0"/>
          <w:color w:val="000000"/>
          <w:position w:val="0"/>
        </w:rPr>
        <w:t>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3"/>
        <w:widowControl w:val="0"/>
        <w:keepNext w:val="0"/>
        <w:keepLines w:val="0"/>
        <w:shd w:val="clear" w:color="auto" w:fill="auto"/>
        <w:bidi w:val="0"/>
        <w:jc w:val="both"/>
        <w:spacing w:before="0" w:after="0" w:line="317" w:lineRule="exact"/>
        <w:ind w:left="140" w:right="40" w:firstLine="560"/>
      </w:pPr>
      <w:r>
        <w:rPr>
          <w:lang w:val="ru-RU" w:eastAsia="ru-RU" w:bidi="ru-RU"/>
          <w:sz w:val="24"/>
          <w:szCs w:val="24"/>
          <w:w w:val="100"/>
          <w:spacing w:val="0"/>
          <w:color w:val="000000"/>
          <w:position w:val="0"/>
        </w:rPr>
        <w:t xml:space="preserve">По мнению Заявителя, в технической части документации содержаться показатели соответствующие единственную производителю </w:t>
      </w:r>
      <w:r>
        <w:rPr>
          <w:lang w:val="en-US" w:eastAsia="en-US" w:bidi="en-US"/>
          <w:sz w:val="24"/>
          <w:szCs w:val="24"/>
          <w:w w:val="100"/>
          <w:spacing w:val="0"/>
          <w:color w:val="000000"/>
          <w:position w:val="0"/>
        </w:rPr>
        <w:t xml:space="preserve">Philips Ingenia </w:t>
      </w:r>
      <w:r>
        <w:rPr>
          <w:lang w:val="ru-RU" w:eastAsia="ru-RU" w:bidi="ru-RU"/>
          <w:sz w:val="24"/>
          <w:szCs w:val="24"/>
          <w:w w:val="100"/>
          <w:spacing w:val="0"/>
          <w:color w:val="000000"/>
          <w:position w:val="0"/>
        </w:rPr>
        <w:t>1.5Т, в том числе:</w:t>
      </w:r>
    </w:p>
    <w:tbl>
      <w:tblPr>
        <w:tblOverlap w:val="never"/>
        <w:tblLayout w:type="fixed"/>
        <w:jc w:val="center"/>
      </w:tblPr>
      <w:tblGrid>
        <w:gridCol w:w="3028"/>
        <w:gridCol w:w="1390"/>
        <w:gridCol w:w="1372"/>
        <w:gridCol w:w="1264"/>
        <w:gridCol w:w="1577"/>
        <w:gridCol w:w="1303"/>
      </w:tblGrid>
      <w:tr>
        <w:trPr>
          <w:trHeight w:val="1969" w:hRule="exact"/>
        </w:trPr>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17"/>
              </w:rPr>
              <w:t>Технические, функциональные и качественные характеристики, эксплуатационные характеристики объекта закупки</w:t>
            </w:r>
          </w:p>
        </w:tc>
        <w:tc>
          <w:tcPr>
            <w:shd w:val="clear" w:color="auto" w:fill="FFFFFF"/>
            <w:tcBorders>
              <w:lef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17"/>
              </w:rPr>
              <w:t>Требования</w:t>
            </w:r>
          </w:p>
          <w:p>
            <w:pPr>
              <w:pStyle w:val="Style3"/>
              <w:framePr w:w="9932"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17"/>
              </w:rPr>
              <w:t>к</w:t>
            </w:r>
          </w:p>
          <w:p>
            <w:pPr>
              <w:pStyle w:val="Style3"/>
              <w:framePr w:w="9932" w:wrap="notBeside" w:vAnchor="text" w:hAnchor="text" w:xAlign="center" w:y="1"/>
              <w:widowControl w:val="0"/>
              <w:keepNext w:val="0"/>
              <w:keepLines w:val="0"/>
              <w:shd w:val="clear" w:color="auto" w:fill="auto"/>
              <w:bidi w:val="0"/>
              <w:jc w:val="center"/>
              <w:spacing w:before="0" w:after="0" w:line="277" w:lineRule="exact"/>
              <w:ind w:left="0" w:right="0" w:firstLine="0"/>
            </w:pPr>
            <w:r>
              <w:rPr>
                <w:rStyle w:val="CharStyle17"/>
              </w:rPr>
              <w:t>показателям</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left"/>
              <w:spacing w:before="0" w:after="0" w:line="270" w:lineRule="exact"/>
              <w:ind w:left="20" w:right="0" w:firstLine="0"/>
            </w:pPr>
            <w:r>
              <w:rPr>
                <w:rStyle w:val="CharStyle17"/>
                <w:lang w:val="en-US" w:eastAsia="en-US" w:bidi="en-US"/>
              </w:rPr>
              <w:t>Hitachi Echelon Oval</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lang w:val="en-US" w:eastAsia="en-US" w:bidi="en-US"/>
              </w:rPr>
              <w:t xml:space="preserve">Siemens MAGNET </w:t>
            </w:r>
            <w:r>
              <w:rPr>
                <w:rStyle w:val="CharStyle17"/>
              </w:rPr>
              <w:t>ОМ Аега</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17"/>
                <w:lang w:val="en-US" w:eastAsia="en-US" w:bidi="en-US"/>
              </w:rPr>
              <w:t xml:space="preserve">Philips Ingenia </w:t>
            </w:r>
            <w:r>
              <w:rPr>
                <w:rStyle w:val="CharStyle17"/>
              </w:rPr>
              <w:t>1.5Т</w:t>
            </w:r>
          </w:p>
        </w:tc>
        <w:tc>
          <w:tcPr>
            <w:shd w:val="clear" w:color="auto" w:fill="FFFFFF"/>
            <w:tcBorders>
              <w:left w:val="single" w:sz="4"/>
              <w:righ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66" w:lineRule="exact"/>
              <w:ind w:left="0" w:right="0" w:firstLine="0"/>
            </w:pPr>
            <w:r>
              <w:rPr>
                <w:rStyle w:val="CharStyle17"/>
                <w:lang w:val="en-US" w:eastAsia="en-US" w:bidi="en-US"/>
              </w:rPr>
              <w:t>GE Signa Voyager</w:t>
            </w:r>
          </w:p>
        </w:tc>
      </w:tr>
      <w:tr>
        <w:trPr>
          <w:trHeight w:val="1382" w:hRule="exact"/>
        </w:trPr>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Система магнитно- резонансной томографии всего тела, со сверхпроводящим магнитом, шт.</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1</w:t>
            </w: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932" w:wrap="notBeside" w:vAnchor="text" w:hAnchor="text" w:xAlign="center" w:y="1"/>
              <w:widowControl w:val="0"/>
              <w:rPr>
                <w:sz w:val="10"/>
                <w:szCs w:val="10"/>
              </w:rPr>
            </w:pPr>
          </w:p>
        </w:tc>
      </w:tr>
      <w:tr>
        <w:trPr>
          <w:trHeight w:val="1663" w:hRule="exact"/>
        </w:trPr>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 xml:space="preserve">Однородность магнитного поля с использованием метода объемного среднеквадратичного отклонения </w:t>
            </w:r>
            <w:r>
              <w:rPr>
                <w:rStyle w:val="CharStyle17"/>
                <w:lang w:val="en-US" w:eastAsia="en-US" w:bidi="en-US"/>
              </w:rPr>
              <w:t xml:space="preserve">(VRMS), ppm </w:t>
            </w:r>
            <w:r>
              <w:rPr>
                <w:rStyle w:val="CharStyle17"/>
              </w:rPr>
              <w:t>(частей на миллион):</w:t>
            </w: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932" w:wrap="notBeside" w:vAnchor="text" w:hAnchor="text" w:xAlign="center" w:y="1"/>
              <w:widowControl w:val="0"/>
              <w:rPr>
                <w:sz w:val="10"/>
                <w:szCs w:val="10"/>
              </w:rPr>
            </w:pPr>
          </w:p>
        </w:tc>
      </w:tr>
      <w:tr>
        <w:trPr>
          <w:trHeight w:val="558" w:hRule="exact"/>
        </w:trPr>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в сфере 20 см</w:t>
            </w:r>
          </w:p>
        </w:tc>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17"/>
              </w:rPr>
              <w:t>Не более 0,05</w:t>
            </w:r>
          </w:p>
        </w:tc>
        <w:tc>
          <w:tcPr>
            <w:shd w:val="clear" w:color="auto" w:fill="FFFFFF"/>
            <w:tcBorders>
              <w:lef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rPr>
              <w:t>0,012</w:t>
            </w:r>
          </w:p>
        </w:tc>
        <w:tc>
          <w:tcPr>
            <w:shd w:val="clear" w:color="auto" w:fill="FFFFFF"/>
            <w:tcBorders>
              <w:lef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0,06</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0,05</w:t>
            </w:r>
          </w:p>
        </w:tc>
        <w:tc>
          <w:tcPr>
            <w:shd w:val="clear" w:color="auto" w:fill="FFFFFF"/>
            <w:tcBorders>
              <w:left w:val="single" w:sz="4"/>
              <w:righ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0.035</w:t>
            </w:r>
          </w:p>
        </w:tc>
      </w:tr>
      <w:tr>
        <w:trPr>
          <w:trHeight w:val="284" w:hRule="exact"/>
        </w:trPr>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Радиочастотная система:</w:t>
            </w:r>
          </w:p>
        </w:tc>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Наличие</w:t>
            </w: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932" w:wrap="notBeside" w:vAnchor="text" w:hAnchor="text" w:xAlign="center" w:y="1"/>
              <w:widowControl w:val="0"/>
              <w:rPr>
                <w:sz w:val="10"/>
                <w:szCs w:val="10"/>
              </w:rPr>
            </w:pPr>
          </w:p>
        </w:tc>
      </w:tr>
      <w:tr>
        <w:trPr>
          <w:trHeight w:val="839" w:hRule="exact"/>
        </w:trPr>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Мощность усилителя радиочастотного передатчика, кВт</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менее 18</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rPr>
              <w:t>40</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rPr>
              <w:t>26,1</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18</w:t>
            </w:r>
          </w:p>
        </w:tc>
        <w:tc>
          <w:tcPr>
            <w:shd w:val="clear" w:color="auto" w:fill="FFFFFF"/>
            <w:tcBorders>
              <w:left w:val="single" w:sz="4"/>
              <w:righ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16</w:t>
            </w:r>
          </w:p>
        </w:tc>
      </w:tr>
      <w:tr>
        <w:trPr>
          <w:trHeight w:val="3046" w:hRule="exact"/>
        </w:trPr>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Максимальное число одновременно используемых независимых</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радиочастотных каналов, шт.</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Система не зависящая от количества РЧ-каналов</w:t>
            </w:r>
          </w:p>
        </w:tc>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Количество</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одновреме</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нно</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используе</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мых</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независим</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ых</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радиочасто</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тных</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каналов не менее 16</w:t>
            </w:r>
          </w:p>
        </w:tc>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center"/>
              <w:spacing w:before="0" w:after="0" w:line="274" w:lineRule="exact"/>
              <w:ind w:left="0" w:right="0" w:firstLine="0"/>
            </w:pPr>
            <w:r>
              <w:rPr>
                <w:rStyle w:val="CharStyle17"/>
              </w:rPr>
              <w:t>Количество</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одноврем</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енно</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используе</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мых</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независим</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ых</w:t>
            </w:r>
          </w:p>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0"/>
            </w:pPr>
            <w:r>
              <w:rPr>
                <w:rStyle w:val="CharStyle17"/>
              </w:rPr>
              <w:t>радиочаст отных каналов не менее 24</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17"/>
              </w:rPr>
              <w:t>каиалонеза</w:t>
            </w:r>
          </w:p>
          <w:p>
            <w:pPr>
              <w:pStyle w:val="Style3"/>
              <w:framePr w:w="9932"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17"/>
              </w:rPr>
              <w:t>висимая</w:t>
            </w:r>
          </w:p>
          <w:p>
            <w:pPr>
              <w:pStyle w:val="Style3"/>
              <w:framePr w:w="9932"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17"/>
              </w:rPr>
              <w:t>система</w:t>
            </w:r>
          </w:p>
        </w:tc>
        <w:tc>
          <w:tcPr>
            <w:shd w:val="clear" w:color="auto" w:fill="FFFFFF"/>
            <w:tcBorders>
              <w:left w:val="single" w:sz="4"/>
              <w:righ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Количество</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одновреме</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нно</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используе</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мых</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независим</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ых</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радиочасто</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тных</w:t>
            </w:r>
          </w:p>
          <w:p>
            <w:pPr>
              <w:pStyle w:val="Style3"/>
              <w:framePr w:w="9932" w:wrap="notBeside" w:vAnchor="text" w:hAnchor="text" w:xAlign="center" w:y="1"/>
              <w:widowControl w:val="0"/>
              <w:keepNext w:val="0"/>
              <w:keepLines w:val="0"/>
              <w:shd w:val="clear" w:color="auto" w:fill="auto"/>
              <w:bidi w:val="0"/>
              <w:jc w:val="both"/>
              <w:spacing w:before="0" w:after="0" w:line="274" w:lineRule="exact"/>
              <w:ind w:left="0" w:right="0" w:firstLine="0"/>
            </w:pPr>
            <w:r>
              <w:rPr>
                <w:rStyle w:val="CharStyle17"/>
              </w:rPr>
              <w:t>каналов не менее 32</w:t>
            </w:r>
          </w:p>
        </w:tc>
      </w:tr>
      <w:tr>
        <w:trPr>
          <w:trHeight w:val="558" w:hRule="exact"/>
        </w:trPr>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both"/>
              <w:spacing w:before="0" w:after="0" w:line="270" w:lineRule="exact"/>
              <w:ind w:left="0" w:right="0" w:firstLine="0"/>
            </w:pPr>
            <w:r>
              <w:rPr>
                <w:rStyle w:val="CharStyle17"/>
              </w:rPr>
              <w:t>количество элементов катушки для головы-шеи</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менее 20</w:t>
            </w:r>
          </w:p>
        </w:tc>
        <w:tc>
          <w:tcPr>
            <w:shd w:val="clear" w:color="auto" w:fill="FFFFFF"/>
            <w:tcBorders>
              <w:lef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rPr>
              <w:t>22</w:t>
            </w:r>
          </w:p>
        </w:tc>
        <w:tc>
          <w:tcPr>
            <w:shd w:val="clear" w:color="auto" w:fill="FFFFFF"/>
            <w:tcBorders>
              <w:lef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rPr>
              <w:t>16</w:t>
            </w:r>
          </w:p>
        </w:tc>
        <w:tc>
          <w:tcPr>
            <w:shd w:val="clear" w:color="auto" w:fill="FFFFFF"/>
            <w:tcBorders>
              <w:lef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20</w:t>
            </w:r>
          </w:p>
        </w:tc>
        <w:tc>
          <w:tcPr>
            <w:shd w:val="clear" w:color="auto" w:fill="FFFFFF"/>
            <w:tcBorders>
              <w:left w:val="single" w:sz="4"/>
              <w:righ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21</w:t>
            </w:r>
          </w:p>
        </w:tc>
      </w:tr>
      <w:tr>
        <w:trPr>
          <w:trHeight w:val="558" w:hRule="exact"/>
        </w:trPr>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left"/>
              <w:spacing w:before="0" w:after="0" w:line="274" w:lineRule="exact"/>
              <w:ind w:left="20" w:right="0" w:firstLine="440"/>
            </w:pPr>
            <w:r>
              <w:rPr>
                <w:rStyle w:val="CharStyle17"/>
              </w:rPr>
              <w:t>количество элементов катушки</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rPr>
              <w:t>Не менее 32</w:t>
            </w:r>
          </w:p>
        </w:tc>
        <w:tc>
          <w:tcPr>
            <w:shd w:val="clear" w:color="auto" w:fill="FFFFFF"/>
            <w:tcBorders>
              <w:left w:val="single" w:sz="4"/>
              <w:top w:val="single" w:sz="4"/>
            </w:tcBorders>
            <w:vAlign w:val="center"/>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rPr>
              <w:t>20</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rPr>
              <w:t>24</w:t>
            </w:r>
          </w:p>
        </w:tc>
        <w:tc>
          <w:tcPr>
            <w:shd w:val="clear" w:color="auto" w:fill="FFFFFF"/>
            <w:tcBorders>
              <w:lef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44</w:t>
            </w:r>
          </w:p>
        </w:tc>
        <w:tc>
          <w:tcPr>
            <w:shd w:val="clear" w:color="auto" w:fill="FFFFFF"/>
            <w:tcBorders>
              <w:left w:val="single" w:sz="4"/>
              <w:right w:val="single" w:sz="4"/>
              <w:top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32</w:t>
            </w:r>
          </w:p>
        </w:tc>
      </w:tr>
      <w:tr>
        <w:trPr>
          <w:trHeight w:val="281" w:hRule="exact"/>
        </w:trPr>
        <w:tc>
          <w:tcPr>
            <w:shd w:val="clear" w:color="auto" w:fill="FFFFFF"/>
            <w:tcBorders>
              <w:left w:val="single" w:sz="4"/>
              <w:top w:val="single" w:sz="4"/>
            </w:tcBorders>
            <w:vAlign w:val="bottom"/>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Аппаратное обеспечение:</w:t>
            </w: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9932"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932" w:wrap="notBeside" w:vAnchor="text" w:hAnchor="text" w:xAlign="center" w:y="1"/>
              <w:widowControl w:val="0"/>
              <w:rPr>
                <w:sz w:val="10"/>
                <w:szCs w:val="10"/>
              </w:rPr>
            </w:pPr>
          </w:p>
        </w:tc>
      </w:tr>
      <w:tr>
        <w:trPr>
          <w:trHeight w:val="587" w:hRule="exact"/>
        </w:trPr>
        <w:tc>
          <w:tcPr>
            <w:shd w:val="clear" w:color="auto" w:fill="FFFFFF"/>
            <w:tcBorders>
              <w:left w:val="single" w:sz="4"/>
              <w:top w:val="single" w:sz="4"/>
              <w:bottom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 размер матрицы, пикселей</w:t>
            </w:r>
          </w:p>
        </w:tc>
        <w:tc>
          <w:tcPr>
            <w:shd w:val="clear" w:color="auto" w:fill="FFFFFF"/>
            <w:tcBorders>
              <w:left w:val="single" w:sz="4"/>
              <w:top w:val="single" w:sz="4"/>
              <w:bottom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81" w:lineRule="exact"/>
              <w:ind w:left="0" w:right="0" w:firstLine="0"/>
            </w:pPr>
            <w:r>
              <w:rPr>
                <w:rStyle w:val="CharStyle17"/>
              </w:rPr>
              <w:t>Не менее 1920х 1200</w:t>
            </w:r>
          </w:p>
        </w:tc>
        <w:tc>
          <w:tcPr>
            <w:shd w:val="clear" w:color="auto" w:fill="FFFFFF"/>
            <w:tcBorders>
              <w:left w:val="single" w:sz="4"/>
              <w:top w:val="single" w:sz="4"/>
              <w:bottom w:val="single" w:sz="4"/>
            </w:tcBorders>
            <w:vAlign w:val="top"/>
          </w:tcPr>
          <w:p>
            <w:pPr>
              <w:pStyle w:val="Style3"/>
              <w:framePr w:w="9932" w:wrap="notBeside" w:vAnchor="text" w:hAnchor="text" w:xAlign="center" w:y="1"/>
              <w:widowControl w:val="0"/>
              <w:keepNext w:val="0"/>
              <w:keepLines w:val="0"/>
              <w:shd w:val="clear" w:color="auto" w:fill="auto"/>
              <w:bidi w:val="0"/>
              <w:jc w:val="left"/>
              <w:spacing w:before="0" w:after="0" w:line="210" w:lineRule="exact"/>
              <w:ind w:left="20" w:right="0" w:firstLine="0"/>
            </w:pPr>
            <w:r>
              <w:rPr>
                <w:rStyle w:val="CharStyle17"/>
                <w:lang w:val="en-US" w:eastAsia="en-US" w:bidi="en-US"/>
              </w:rPr>
              <w:t>1280x1024</w:t>
            </w:r>
          </w:p>
        </w:tc>
        <w:tc>
          <w:tcPr>
            <w:shd w:val="clear" w:color="auto" w:fill="FFFFFF"/>
            <w:tcBorders>
              <w:left w:val="single" w:sz="4"/>
              <w:top w:val="single" w:sz="4"/>
              <w:bottom w:val="single" w:sz="4"/>
            </w:tcBorders>
            <w:vAlign w:val="top"/>
          </w:tcPr>
          <w:p>
            <w:pPr>
              <w:pStyle w:val="Style3"/>
              <w:framePr w:w="993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7"/>
                <w:lang w:val="en-US" w:eastAsia="en-US" w:bidi="en-US"/>
              </w:rPr>
              <w:t>1280x1024</w:t>
            </w:r>
          </w:p>
        </w:tc>
        <w:tc>
          <w:tcPr>
            <w:shd w:val="clear" w:color="auto" w:fill="FFFFFF"/>
            <w:tcBorders>
              <w:left w:val="single" w:sz="4"/>
              <w:top w:val="single" w:sz="4"/>
              <w:bottom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rPr>
              <w:t>1920х 1200</w:t>
            </w:r>
          </w:p>
        </w:tc>
        <w:tc>
          <w:tcPr>
            <w:shd w:val="clear" w:color="auto" w:fill="FFFFFF"/>
            <w:tcBorders>
              <w:left w:val="single" w:sz="4"/>
              <w:right w:val="single" w:sz="4"/>
              <w:top w:val="single" w:sz="4"/>
              <w:bottom w:val="single" w:sz="4"/>
            </w:tcBorders>
            <w:vAlign w:val="top"/>
          </w:tcPr>
          <w:p>
            <w:pPr>
              <w:pStyle w:val="Style3"/>
              <w:framePr w:w="9932" w:wrap="notBeside" w:vAnchor="text" w:hAnchor="text" w:xAlign="center" w:y="1"/>
              <w:widowControl w:val="0"/>
              <w:keepNext w:val="0"/>
              <w:keepLines w:val="0"/>
              <w:shd w:val="clear" w:color="auto" w:fill="auto"/>
              <w:bidi w:val="0"/>
              <w:jc w:val="both"/>
              <w:spacing w:before="0" w:after="0" w:line="210" w:lineRule="exact"/>
              <w:ind w:left="0" w:right="0" w:firstLine="0"/>
            </w:pPr>
            <w:r>
              <w:rPr>
                <w:rStyle w:val="CharStyle17"/>
                <w:lang w:val="en-US" w:eastAsia="en-US" w:bidi="en-US"/>
              </w:rPr>
              <w:t>1280x1024</w:t>
            </w:r>
          </w:p>
        </w:tc>
      </w:tr>
    </w:tbl>
    <w:p>
      <w:pPr>
        <w:widowControl w:val="0"/>
        <w:rPr>
          <w:sz w:val="2"/>
          <w:szCs w:val="2"/>
        </w:rPr>
      </w:pPr>
    </w:p>
    <w:p>
      <w:pPr>
        <w:pStyle w:val="Style3"/>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 xml:space="preserve">Заказчик на рассмотрении дела представил письменное возражения на жалобу, в которых просит признать жалобу необоснованной. При этом Заказчик указывал, что техническому заданию соответствовало два производителя </w:t>
      </w:r>
      <w:r>
        <w:rPr>
          <w:lang w:val="en-US" w:eastAsia="en-US" w:bidi="en-US"/>
          <w:sz w:val="24"/>
          <w:szCs w:val="24"/>
          <w:w w:val="100"/>
          <w:spacing w:val="0"/>
          <w:color w:val="000000"/>
          <w:position w:val="0"/>
        </w:rPr>
        <w:t xml:space="preserve">Siemens MAGNETOM </w:t>
      </w:r>
      <w:r>
        <w:rPr>
          <w:lang w:val="ru-RU" w:eastAsia="ru-RU" w:bidi="ru-RU"/>
          <w:sz w:val="24"/>
          <w:szCs w:val="24"/>
          <w:w w:val="100"/>
          <w:spacing w:val="0"/>
          <w:color w:val="000000"/>
          <w:position w:val="0"/>
        </w:rPr>
        <w:t xml:space="preserve">Аега и </w:t>
      </w:r>
      <w:r>
        <w:rPr>
          <w:lang w:val="en-US" w:eastAsia="en-US" w:bidi="en-US"/>
          <w:sz w:val="24"/>
          <w:szCs w:val="24"/>
          <w:w w:val="100"/>
          <w:spacing w:val="0"/>
          <w:color w:val="000000"/>
          <w:position w:val="0"/>
        </w:rPr>
        <w:t xml:space="preserve">Philips Ingenia </w:t>
      </w:r>
      <w:r>
        <w:rPr>
          <w:lang w:val="ru-RU" w:eastAsia="ru-RU" w:bidi="ru-RU"/>
          <w:sz w:val="24"/>
          <w:szCs w:val="24"/>
          <w:w w:val="100"/>
          <w:spacing w:val="0"/>
          <w:color w:val="000000"/>
          <w:position w:val="0"/>
        </w:rPr>
        <w:t>1.5Т.</w:t>
      </w:r>
    </w:p>
    <w:p>
      <w:pPr>
        <w:pStyle w:val="Style3"/>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 xml:space="preserve">В свою очередь, Заявителем было предоставлено письмо (№100720 от 10.07.2020г.) от производителя томографа </w:t>
      </w:r>
      <w:r>
        <w:rPr>
          <w:lang w:val="en-US" w:eastAsia="en-US" w:bidi="en-US"/>
          <w:sz w:val="24"/>
          <w:szCs w:val="24"/>
          <w:w w:val="100"/>
          <w:spacing w:val="0"/>
          <w:color w:val="000000"/>
          <w:position w:val="0"/>
        </w:rPr>
        <w:t xml:space="preserve">Siemens. </w:t>
      </w:r>
      <w:r>
        <w:rPr>
          <w:lang w:val="ru-RU" w:eastAsia="ru-RU" w:bidi="ru-RU"/>
          <w:sz w:val="24"/>
          <w:szCs w:val="24"/>
          <w:w w:val="100"/>
          <w:spacing w:val="0"/>
          <w:color w:val="000000"/>
          <w:position w:val="0"/>
        </w:rPr>
        <w:t xml:space="preserve">Из письма следует, что характеристики томографа, изложенные в техническом задании, не соответствуют томографу </w:t>
      </w:r>
      <w:r>
        <w:rPr>
          <w:lang w:val="en-US" w:eastAsia="en-US" w:bidi="en-US"/>
          <w:sz w:val="24"/>
          <w:szCs w:val="24"/>
          <w:w w:val="100"/>
          <w:spacing w:val="0"/>
          <w:color w:val="000000"/>
          <w:position w:val="0"/>
        </w:rPr>
        <w:t xml:space="preserve">Siemens MAGNETOM </w:t>
      </w:r>
      <w:r>
        <w:rPr>
          <w:lang w:val="ru-RU" w:eastAsia="ru-RU" w:bidi="ru-RU"/>
          <w:sz w:val="24"/>
          <w:szCs w:val="24"/>
          <w:w w:val="100"/>
          <w:spacing w:val="0"/>
          <w:color w:val="000000"/>
          <w:position w:val="0"/>
        </w:rPr>
        <w:t>Аега 64 канала.</w:t>
      </w:r>
    </w:p>
    <w:p>
      <w:pPr>
        <w:pStyle w:val="Style3"/>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Между тем, Заказчиком не предоставлено достаточно доказательств наличия томографов других производителей, соответствующих в совокупности требованиям, указанным в техническом задании.</w:t>
      </w:r>
    </w:p>
    <w:p>
      <w:pPr>
        <w:pStyle w:val="Style3"/>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На основании вышеизложенного, Комиссия признает довод жалобы обоснованным.</w:t>
      </w:r>
    </w:p>
    <w:p>
      <w:pPr>
        <w:pStyle w:val="Style3"/>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При проведении внеплановой проверки в соответствии со статьей 99 Закона о контрактной системе, выявлены следующие нарушения.</w:t>
      </w:r>
    </w:p>
    <w:p>
      <w:pPr>
        <w:pStyle w:val="Style3"/>
        <w:numPr>
          <w:ilvl w:val="0"/>
          <w:numId w:val="7"/>
        </w:numPr>
        <w:tabs>
          <w:tab w:leader="none" w:pos="926" w:val="left"/>
        </w:tabs>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В части 5 статьи 63 Закона о контрактной системе установлено, что в извещении о проведении электронного аукциона указывается информация, предусмотренная статьей 42 Закона о контрактной системе.</w:t>
      </w:r>
    </w:p>
    <w:p>
      <w:pPr>
        <w:pStyle w:val="Style3"/>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Согласно пункту 10 статьи 42 Закона о контрактной системе 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в числе прочего, если иное не предусмотрено настоящим Федеральным законом, следующая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Закона о контрактной системе.</w:t>
      </w:r>
    </w:p>
    <w:p>
      <w:pPr>
        <w:pStyle w:val="Style3"/>
        <w:widowControl w:val="0"/>
        <w:keepNext w:val="0"/>
        <w:keepLines w:val="0"/>
        <w:shd w:val="clear" w:color="auto" w:fill="auto"/>
        <w:bidi w:val="0"/>
        <w:jc w:val="both"/>
        <w:spacing w:before="0" w:after="0"/>
        <w:ind w:left="40" w:right="160" w:firstLine="540"/>
      </w:pPr>
      <w:r>
        <w:rPr>
          <w:lang w:val="ru-RU" w:eastAsia="ru-RU" w:bidi="ru-RU"/>
          <w:sz w:val="24"/>
          <w:szCs w:val="24"/>
          <w:w w:val="100"/>
          <w:spacing w:val="0"/>
          <w:color w:val="000000"/>
          <w:position w:val="0"/>
        </w:rPr>
        <w:t>В соответствии с частью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3"/>
        <w:widowControl w:val="0"/>
        <w:keepNext w:val="0"/>
        <w:keepLines w:val="0"/>
        <w:shd w:val="clear" w:color="auto" w:fill="auto"/>
        <w:bidi w:val="0"/>
        <w:jc w:val="both"/>
        <w:spacing w:before="0" w:after="0"/>
        <w:ind w:left="40" w:right="20" w:firstLine="540"/>
      </w:pPr>
      <w:r>
        <w:rPr>
          <w:lang w:val="ru-RU" w:eastAsia="ru-RU" w:bidi="ru-RU"/>
          <w:sz w:val="24"/>
          <w:szCs w:val="24"/>
          <w:w w:val="100"/>
          <w:spacing w:val="0"/>
          <w:color w:val="000000"/>
          <w:position w:val="0"/>
        </w:rPr>
        <w:t xml:space="preserve">В части 4 статьи 14 Закона о контрактной системе установлено, что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r>
        <w:rPr>
          <w:rStyle w:val="CharStyle9"/>
        </w:rPr>
        <w:t>условия допуска</w:t>
      </w:r>
      <w:r>
        <w:rPr>
          <w:lang w:val="ru-RU" w:eastAsia="ru-RU" w:bidi="ru-RU"/>
          <w:sz w:val="24"/>
          <w:szCs w:val="24"/>
          <w:w w:val="100"/>
          <w:spacing w:val="0"/>
          <w:color w:val="000000"/>
          <w:position w:val="0"/>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частью 3 настоящей статьи.</w:t>
      </w:r>
      <w:r>
        <w:br w:type="page"/>
      </w:r>
    </w:p>
    <w:p>
      <w:pPr>
        <w:pStyle w:val="Style3"/>
        <w:widowControl w:val="0"/>
        <w:keepNext w:val="0"/>
        <w:keepLines w:val="0"/>
        <w:shd w:val="clear" w:color="auto" w:fill="auto"/>
        <w:bidi w:val="0"/>
        <w:jc w:val="both"/>
        <w:spacing w:before="0" w:after="0" w:line="324" w:lineRule="exact"/>
        <w:ind w:left="20" w:right="20" w:firstLine="560"/>
      </w:pPr>
      <w:r>
        <w:rPr>
          <w:lang w:val="ru-RU" w:eastAsia="ru-RU" w:bidi="ru-RU"/>
          <w:sz w:val="24"/>
          <w:szCs w:val="24"/>
          <w:w w:val="100"/>
          <w:spacing w:val="0"/>
          <w:color w:val="000000"/>
          <w:position w:val="0"/>
        </w:rPr>
        <w:t>Под «условия допуска» попадает Приказ Минфина России от 04.06.2018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(далее - Приказ №126н).</w:t>
      </w:r>
    </w:p>
    <w:p>
      <w:pPr>
        <w:pStyle w:val="Style3"/>
        <w:widowControl w:val="0"/>
        <w:keepNext w:val="0"/>
        <w:keepLines w:val="0"/>
        <w:shd w:val="clear" w:color="auto" w:fill="auto"/>
        <w:bidi w:val="0"/>
        <w:jc w:val="both"/>
        <w:spacing w:before="0" w:after="0" w:line="324" w:lineRule="exact"/>
        <w:ind w:left="20" w:right="20" w:firstLine="700"/>
        <w:sectPr>
          <w:type w:val="continuous"/>
          <w:pgSz w:w="11906" w:h="16838"/>
          <w:pgMar w:top="794" w:left="846" w:right="846" w:bottom="1237" w:header="0" w:footer="3" w:gutter="274"/>
          <w:rtlGutter w:val="0"/>
          <w:cols w:space="720"/>
          <w:noEndnote/>
          <w:docGrid w:linePitch="360"/>
        </w:sectPr>
      </w:pPr>
      <w:r>
        <w:rPr>
          <w:lang w:val="ru-RU" w:eastAsia="ru-RU" w:bidi="ru-RU"/>
          <w:sz w:val="24"/>
          <w:szCs w:val="24"/>
          <w:w w:val="100"/>
          <w:spacing w:val="0"/>
          <w:color w:val="000000"/>
          <w:position w:val="0"/>
        </w:rPr>
        <w:t xml:space="preserve">В вышеуказанном приложении Приказа №126н установлены условия допуска, в том числе и по Общероссийскому классификатору продукции по </w:t>
      </w:r>
      <w:r>
        <w:rPr>
          <w:rStyle w:val="CharStyle9"/>
        </w:rPr>
        <w:t xml:space="preserve">видам экономической деятельности </w:t>
      </w:r>
      <w:r>
        <w:rPr>
          <w:rStyle w:val="CharStyle9"/>
          <w:lang w:val="en-US" w:eastAsia="en-US" w:bidi="en-US"/>
        </w:rPr>
        <w:t xml:space="preserve">OK </w:t>
      </w:r>
      <w:r>
        <w:rPr>
          <w:rStyle w:val="CharStyle9"/>
        </w:rPr>
        <w:t>034-2014 (КПЕС 2008) (далее - ОКПД2):</w:t>
      </w:r>
    </w:p>
    <w:p>
      <w:pPr>
        <w:widowControl w:val="0"/>
        <w:spacing w:line="96" w:lineRule="exact"/>
        <w:rPr>
          <w:sz w:val="8"/>
          <w:szCs w:val="8"/>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24" w:lineRule="exact"/>
        <w:ind w:left="0" w:right="0" w:firstLine="0"/>
      </w:pPr>
      <w:r>
        <w:rPr>
          <w:lang w:val="ru-RU" w:eastAsia="ru-RU" w:bidi="ru-RU"/>
          <w:sz w:val="24"/>
          <w:szCs w:val="24"/>
          <w:w w:val="100"/>
          <w:spacing w:val="0"/>
          <w:color w:val="000000"/>
          <w:position w:val="0"/>
        </w:rPr>
        <w:t>26.60 (за исключением 26.60.9)</w:t>
      </w:r>
    </w:p>
    <w:p>
      <w:pPr>
        <w:pStyle w:val="Style3"/>
        <w:widowControl w:val="0"/>
        <w:keepNext w:val="0"/>
        <w:keepLines w:val="0"/>
        <w:shd w:val="clear" w:color="auto" w:fill="auto"/>
        <w:bidi w:val="0"/>
        <w:jc w:val="left"/>
        <w:spacing w:before="0" w:after="0" w:line="324" w:lineRule="exact"/>
        <w:ind w:left="0" w:right="0" w:firstLine="0"/>
        <w:sectPr>
          <w:type w:val="continuous"/>
          <w:pgSz w:w="11906" w:h="16838"/>
          <w:pgMar w:top="433" w:left="1123" w:right="2387" w:bottom="1391" w:header="0" w:footer="3" w:gutter="0"/>
          <w:rtlGutter w:val="0"/>
          <w:cols w:num="2" w:space="720" w:equalWidth="0">
            <w:col w:w="2704" w:space="292"/>
            <w:col w:w="5400"/>
          </w:cols>
          <w:noEndnote/>
          <w:docGrid w:linePitch="360"/>
        </w:sectPr>
      </w:pPr>
      <w:r>
        <w:rPr>
          <w:lang w:val="ru-RU" w:eastAsia="ru-RU" w:bidi="ru-RU"/>
          <w:sz w:val="24"/>
          <w:szCs w:val="24"/>
          <w:w w:val="100"/>
          <w:spacing w:val="0"/>
          <w:color w:val="000000"/>
          <w:position w:val="0"/>
        </w:rPr>
        <w:t>Оборудование для облучения, электрическое диагностическое и терапевтическое, применяемые в медицинских целях</w:t>
      </w:r>
    </w:p>
    <w:p>
      <w:pPr>
        <w:widowControl w:val="0"/>
        <w:spacing w:before="92" w:after="9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324" w:lineRule="exact"/>
        <w:ind w:left="20" w:right="20" w:firstLine="560"/>
      </w:pPr>
      <w:r>
        <w:rPr>
          <w:lang w:val="ru-RU" w:eastAsia="ru-RU" w:bidi="ru-RU"/>
          <w:sz w:val="24"/>
          <w:szCs w:val="24"/>
          <w:w w:val="100"/>
          <w:spacing w:val="0"/>
          <w:color w:val="000000"/>
          <w:position w:val="0"/>
        </w:rPr>
        <w:t>В свою очередь оборудование, указанное в техническом задании аукционной документации, имеет следующее ОКПД2:</w:t>
      </w:r>
    </w:p>
    <w:p>
      <w:pPr>
        <w:pStyle w:val="Style18"/>
        <w:widowControl w:val="0"/>
        <w:keepNext w:val="0"/>
        <w:keepLines w:val="0"/>
        <w:shd w:val="clear" w:color="auto" w:fill="auto"/>
        <w:bidi w:val="0"/>
        <w:spacing w:before="0" w:after="0"/>
        <w:ind w:left="20" w:right="0"/>
      </w:pPr>
      <w:r>
        <w:rPr>
          <w:lang w:val="ru-RU" w:eastAsia="ru-RU" w:bidi="ru-RU"/>
          <w:sz w:val="24"/>
          <w:szCs w:val="24"/>
          <w:w w:val="100"/>
          <w:color w:val="000000"/>
          <w:position w:val="0"/>
        </w:rPr>
        <w:t>26.60.12.131- Томографы магнитно-резонансные</w:t>
      </w:r>
    </w:p>
    <w:p>
      <w:pPr>
        <w:pStyle w:val="Style3"/>
        <w:widowControl w:val="0"/>
        <w:keepNext w:val="0"/>
        <w:keepLines w:val="0"/>
        <w:shd w:val="clear" w:color="auto" w:fill="auto"/>
        <w:bidi w:val="0"/>
        <w:jc w:val="both"/>
        <w:spacing w:before="0" w:after="246" w:line="317" w:lineRule="exact"/>
        <w:ind w:left="20" w:right="20" w:firstLine="560"/>
      </w:pPr>
      <w:r>
        <w:rPr>
          <w:lang w:val="ru-RU" w:eastAsia="ru-RU" w:bidi="ru-RU"/>
          <w:sz w:val="24"/>
          <w:szCs w:val="24"/>
          <w:w w:val="100"/>
          <w:spacing w:val="0"/>
          <w:color w:val="000000"/>
          <w:position w:val="0"/>
        </w:rPr>
        <w:t>В ОКПД 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p>
    <w:p>
      <w:pPr>
        <w:pStyle w:val="Style3"/>
        <w:tabs>
          <w:tab w:leader="none" w:pos="3528" w:val="lef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XX</w:t>
        <w:tab/>
        <w:t>класс</w:t>
      </w:r>
    </w:p>
    <w:p>
      <w:pPr>
        <w:pStyle w:val="Style3"/>
        <w:tabs>
          <w:tab w:leader="none" w:pos="3528" w:val="lef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ХХ.Х</w:t>
        <w:tab/>
        <w:t>подкласс</w:t>
      </w:r>
    </w:p>
    <w:p>
      <w:pPr>
        <w:pStyle w:val="Style3"/>
        <w:tabs>
          <w:tab w:leader="none" w:pos="3528" w:val="lef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ХХ.ХХ</w:t>
        <w:tab/>
        <w:t>группа</w:t>
      </w:r>
    </w:p>
    <w:p>
      <w:pPr>
        <w:pStyle w:val="Style3"/>
        <w:tabs>
          <w:tab w:leader="none" w:pos="3528" w:val="lef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ХХ.ХХ.Х</w:t>
        <w:tab/>
        <w:t>подгруппа</w:t>
      </w:r>
    </w:p>
    <w:p>
      <w:pPr>
        <w:pStyle w:val="Style3"/>
        <w:tabs>
          <w:tab w:leader="none" w:pos="3528" w:val="lef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ХХ.ХХ.ХХ</w:t>
        <w:tab/>
        <w:t>вид</w:t>
      </w:r>
    </w:p>
    <w:p>
      <w:pPr>
        <w:pStyle w:val="Style3"/>
        <w:tabs>
          <w:tab w:leader="none" w:pos="3528" w:val="left"/>
        </w:tabs>
        <w:widowControl w:val="0"/>
        <w:keepNext w:val="0"/>
        <w:keepLines w:val="0"/>
        <w:shd w:val="clear" w:color="auto" w:fill="auto"/>
        <w:bidi w:val="0"/>
        <w:jc w:val="both"/>
        <w:spacing w:before="0" w:after="0" w:line="310" w:lineRule="exact"/>
        <w:ind w:left="20" w:right="0" w:firstLine="720"/>
      </w:pPr>
      <w:r>
        <w:rPr>
          <w:lang w:val="en-US" w:eastAsia="en-US" w:bidi="en-US"/>
          <w:sz w:val="24"/>
          <w:szCs w:val="24"/>
          <w:w w:val="100"/>
          <w:spacing w:val="0"/>
          <w:color w:val="000000"/>
          <w:position w:val="0"/>
        </w:rPr>
        <w:t>XX.XX.XX.XX0</w:t>
        <w:tab/>
      </w:r>
      <w:r>
        <w:rPr>
          <w:lang w:val="ru-RU" w:eastAsia="ru-RU" w:bidi="ru-RU"/>
          <w:sz w:val="24"/>
          <w:szCs w:val="24"/>
          <w:w w:val="100"/>
          <w:spacing w:val="0"/>
          <w:color w:val="000000"/>
          <w:position w:val="0"/>
        </w:rPr>
        <w:t>категория</w:t>
      </w:r>
    </w:p>
    <w:p>
      <w:pPr>
        <w:pStyle w:val="Style3"/>
        <w:tabs>
          <w:tab w:leader="none" w:pos="3528" w:val="left"/>
        </w:tabs>
        <w:widowControl w:val="0"/>
        <w:keepNext w:val="0"/>
        <w:keepLines w:val="0"/>
        <w:shd w:val="clear" w:color="auto" w:fill="auto"/>
        <w:bidi w:val="0"/>
        <w:jc w:val="both"/>
        <w:spacing w:before="0" w:after="0" w:line="310" w:lineRule="exact"/>
        <w:ind w:left="20" w:right="0" w:firstLine="720"/>
      </w:pPr>
      <w:r>
        <w:rPr>
          <w:lang w:val="ru-RU" w:eastAsia="ru-RU" w:bidi="ru-RU"/>
          <w:sz w:val="24"/>
          <w:szCs w:val="24"/>
          <w:w w:val="100"/>
          <w:spacing w:val="0"/>
          <w:color w:val="000000"/>
          <w:position w:val="0"/>
        </w:rPr>
        <w:t>ХХ.ХХ.ХХ.ХХХ</w:t>
        <w:tab/>
        <w:t>подкатегория</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Таким образом, оборудования, указанные в техническом задании аукционной документации, попадают под условия допуска предусмотренные частью 4 статьи 14 Закона о контрактной системе и Приказа №126н.</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Вместе с тем, в нарушение вышеуказанных положений в извещении и документации не установлены условия допуска товара для целей осуществления закупок товаров, происходящих из иностранного государства или группы иностранных государств.</w:t>
      </w:r>
    </w:p>
    <w:p>
      <w:pPr>
        <w:pStyle w:val="Style3"/>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На основании выше изложенного и руководствуясь статьей 99 и статьей 106 Закона о контрактной системе Комиссия,</w:t>
      </w:r>
    </w:p>
    <w:p>
      <w:pPr>
        <w:pStyle w:val="Style3"/>
        <w:widowControl w:val="0"/>
        <w:keepNext w:val="0"/>
        <w:keepLines w:val="0"/>
        <w:shd w:val="clear" w:color="auto" w:fill="auto"/>
        <w:bidi w:val="0"/>
        <w:jc w:val="left"/>
        <w:spacing w:before="0" w:after="0"/>
        <w:ind w:left="468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both"/>
        <w:spacing w:before="0" w:after="0"/>
        <w:ind w:left="20" w:right="20" w:firstLine="720"/>
      </w:pPr>
      <w:r>
        <w:rPr>
          <w:lang w:val="ru-RU" w:eastAsia="ru-RU" w:bidi="ru-RU"/>
          <w:sz w:val="24"/>
          <w:szCs w:val="24"/>
          <w:w w:val="100"/>
          <w:spacing w:val="0"/>
          <w:color w:val="000000"/>
          <w:position w:val="0"/>
        </w:rPr>
        <w:t>1. Признать жалобу ООО «Парадиз-М» на действия (бездействие) ГБУ «Республиканский онкологический диспансер» им. Г.М. Ведзижева при проведении процедуры закупки способом электронного аукциона № 0114500000820000944 частично обоснованной.</w:t>
      </w:r>
    </w:p>
    <w:p>
      <w:pPr>
        <w:pStyle w:val="Style3"/>
        <w:numPr>
          <w:ilvl w:val="0"/>
          <w:numId w:val="7"/>
        </w:numPr>
        <w:widowControl w:val="0"/>
        <w:keepNext w:val="0"/>
        <w:keepLines w:val="0"/>
        <w:shd w:val="clear" w:color="auto" w:fill="auto"/>
        <w:bidi w:val="0"/>
        <w:jc w:val="both"/>
        <w:spacing w:before="0" w:after="0"/>
        <w:ind w:left="20" w:right="20" w:firstLine="560"/>
      </w:pPr>
      <w:r>
        <w:rPr>
          <w:lang w:val="ru-RU" w:eastAsia="ru-RU" w:bidi="ru-RU"/>
          <w:sz w:val="24"/>
          <w:szCs w:val="24"/>
          <w:w w:val="100"/>
          <w:spacing w:val="0"/>
          <w:color w:val="000000"/>
          <w:position w:val="0"/>
        </w:rPr>
        <w:t xml:space="preserve"> Признать в действиях (бездействиях) аукционной комиссии Заказчика нарушение части 4 статьи 14, пункта 1 части 1 статьи 33, части 10 статьи 42, пункта 1 части 1 статьи 64 Закона о контрактной системе.</w:t>
      </w:r>
    </w:p>
    <w:p>
      <w:pPr>
        <w:pStyle w:val="Style3"/>
        <w:numPr>
          <w:ilvl w:val="0"/>
          <w:numId w:val="7"/>
        </w:numPr>
        <w:widowControl w:val="0"/>
        <w:keepNext w:val="0"/>
        <w:keepLines w:val="0"/>
        <w:shd w:val="clear" w:color="auto" w:fill="auto"/>
        <w:bidi w:val="0"/>
        <w:jc w:val="both"/>
        <w:spacing w:before="0" w:after="0"/>
        <w:ind w:left="20" w:right="0" w:firstLine="560"/>
      </w:pPr>
      <w:r>
        <w:rPr>
          <w:lang w:val="ru-RU" w:eastAsia="ru-RU" w:bidi="ru-RU"/>
          <w:sz w:val="24"/>
          <w:szCs w:val="24"/>
          <w:w w:val="100"/>
          <w:spacing w:val="0"/>
          <w:color w:val="000000"/>
          <w:position w:val="0"/>
        </w:rPr>
        <w:t xml:space="preserve"> Выдать обязательное для исполнения предписание.</w:t>
      </w:r>
      <w:r>
        <w:br w:type="page"/>
      </w:r>
    </w:p>
    <w:p>
      <w:pPr>
        <w:pStyle w:val="Style3"/>
        <w:numPr>
          <w:ilvl w:val="0"/>
          <w:numId w:val="7"/>
        </w:numPr>
        <w:widowControl w:val="0"/>
        <w:keepNext w:val="0"/>
        <w:keepLines w:val="0"/>
        <w:shd w:val="clear" w:color="auto" w:fill="auto"/>
        <w:bidi w:val="0"/>
        <w:jc w:val="left"/>
        <w:spacing w:before="0" w:after="0" w:line="324" w:lineRule="exact"/>
        <w:ind w:left="0" w:right="0" w:firstLine="560"/>
      </w:pPr>
      <w:r>
        <w:rPr>
          <w:lang w:val="ru-RU" w:eastAsia="ru-RU" w:bidi="ru-RU"/>
          <w:sz w:val="24"/>
          <w:szCs w:val="24"/>
          <w:w w:val="100"/>
          <w:spacing w:val="0"/>
          <w:color w:val="000000"/>
          <w:position w:val="0"/>
        </w:rPr>
        <w:t xml:space="preserve"> Передать материалы дела должностному лицу Управления для решения вопрос о привлечении виновных лиц к административной ответственности.</w:t>
      </w:r>
    </w:p>
    <w:p>
      <w:pPr>
        <w:pStyle w:val="Style3"/>
        <w:numPr>
          <w:ilvl w:val="0"/>
          <w:numId w:val="7"/>
        </w:numPr>
        <w:widowControl w:val="0"/>
        <w:keepNext w:val="0"/>
        <w:keepLines w:val="0"/>
        <w:shd w:val="clear" w:color="auto" w:fill="auto"/>
        <w:bidi w:val="0"/>
        <w:jc w:val="left"/>
        <w:spacing w:before="0" w:after="0" w:line="324" w:lineRule="exact"/>
        <w:ind w:left="0" w:right="0" w:firstLine="560"/>
        <w:sectPr>
          <w:type w:val="continuous"/>
          <w:pgSz w:w="11906" w:h="16838"/>
          <w:pgMar w:top="813" w:left="1066" w:right="1052" w:bottom="1771" w:header="0" w:footer="3" w:gutter="0"/>
          <w:rtlGutter w:val="0"/>
          <w:cols w:space="720"/>
          <w:noEndnote/>
          <w:docGrid w:linePitch="360"/>
        </w:sectPr>
      </w:pPr>
      <w:r>
        <w:rPr>
          <w:lang w:val="ru-RU" w:eastAsia="ru-RU" w:bidi="ru-RU"/>
          <w:sz w:val="24"/>
          <w:szCs w:val="24"/>
          <w:w w:val="100"/>
          <w:spacing w:val="0"/>
          <w:color w:val="000000"/>
          <w:position w:val="0"/>
        </w:rPr>
        <w:t xml:space="preserve"> В соответствии со статьи 106 Закона о контрактной системе направить настоящее решение сторонам.</w:t>
      </w:r>
    </w:p>
    <w:p>
      <w:pPr>
        <w:widowControl w:val="0"/>
        <w:spacing w:line="240" w:lineRule="exact"/>
        <w:rPr>
          <w:sz w:val="19"/>
          <w:szCs w:val="19"/>
        </w:rPr>
      </w:pPr>
    </w:p>
    <w:p>
      <w:pPr>
        <w:widowControl w:val="0"/>
        <w:spacing w:before="115" w:after="11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39" w:wrap="around" w:vAnchor="text" w:hAnchor="margin" w:x="7108" w:y="11"/>
        <w:widowControl w:val="0"/>
        <w:keepNext w:val="0"/>
        <w:keepLines w:val="0"/>
        <w:shd w:val="clear" w:color="auto" w:fill="auto"/>
        <w:bidi w:val="0"/>
        <w:jc w:val="left"/>
        <w:spacing w:before="0" w:after="0" w:line="240" w:lineRule="exact"/>
        <w:ind w:left="100" w:right="0" w:firstLine="0"/>
      </w:pPr>
      <w:r>
        <w:rPr>
          <w:rStyle w:val="CharStyle20"/>
          <w:spacing w:val="0"/>
        </w:rPr>
        <w:t>Р.В. Евлоев</w:t>
      </w: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431" w:left="1062" w:right="7553" w:bottom="7743" w:header="0" w:footer="3" w:gutter="0"/>
          <w:rtlGutter w:val="0"/>
          <w:cols w:space="720"/>
          <w:noEndnote/>
          <w:docGrid w:linePitch="360"/>
        </w:sectPr>
      </w:pPr>
      <w:r>
        <w:rPr>
          <w:lang w:val="ru-RU" w:eastAsia="ru-RU" w:bidi="ru-RU"/>
          <w:sz w:val="24"/>
          <w:szCs w:val="24"/>
          <w:w w:val="100"/>
          <w:spacing w:val="0"/>
          <w:color w:val="000000"/>
          <w:position w:val="0"/>
        </w:rPr>
        <w:t>Председатель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9" w:after="3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42" w:wrap="around" w:vAnchor="text" w:hAnchor="margin" w:x="7115" w:y="5"/>
        <w:widowControl w:val="0"/>
        <w:keepNext w:val="0"/>
        <w:keepLines w:val="0"/>
        <w:shd w:val="clear" w:color="auto" w:fill="auto"/>
        <w:bidi w:val="0"/>
        <w:jc w:val="left"/>
        <w:spacing w:before="0" w:after="0" w:line="240" w:lineRule="exact"/>
        <w:ind w:left="100" w:right="0" w:firstLine="0"/>
      </w:pPr>
      <w:r>
        <w:rPr>
          <w:rStyle w:val="CharStyle20"/>
          <w:spacing w:val="0"/>
        </w:rPr>
        <w:t>М.М. Точиев</w:t>
      </w:r>
    </w:p>
    <w:p>
      <w:pPr>
        <w:pStyle w:val="Style3"/>
        <w:widowControl w:val="0"/>
        <w:keepNext w:val="0"/>
        <w:keepLines w:val="0"/>
        <w:shd w:val="clear" w:color="auto" w:fill="auto"/>
        <w:bidi w:val="0"/>
        <w:jc w:val="left"/>
        <w:spacing w:before="0" w:after="0" w:line="240" w:lineRule="exact"/>
        <w:ind w:left="0" w:right="0" w:firstLine="0"/>
        <w:sectPr>
          <w:type w:val="continuous"/>
          <w:pgSz w:w="11906" w:h="16838"/>
          <w:pgMar w:top="431" w:left="1066" w:right="8500" w:bottom="7743" w:header="0" w:footer="3" w:gutter="0"/>
          <w:rtlGutter w:val="0"/>
          <w:cols w:space="720"/>
          <w:noEndnote/>
          <w:docGrid w:linePitch="360"/>
        </w:sectPr>
      </w:pPr>
      <w:r>
        <w:rPr>
          <w:lang w:val="ru-RU" w:eastAsia="ru-RU" w:bidi="ru-RU"/>
          <w:sz w:val="24"/>
          <w:szCs w:val="24"/>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48" w:after="48"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right"/>
        <w:spacing w:before="0" w:after="515" w:line="240" w:lineRule="exact"/>
        <w:ind w:left="0" w:right="20" w:firstLine="0"/>
      </w:pPr>
      <w:r>
        <w:rPr>
          <w:lang w:val="ru-RU" w:eastAsia="ru-RU" w:bidi="ru-RU"/>
          <w:sz w:val="24"/>
          <w:szCs w:val="24"/>
          <w:w w:val="100"/>
          <w:spacing w:val="0"/>
          <w:color w:val="000000"/>
          <w:position w:val="0"/>
        </w:rPr>
        <w:t>И.И. Балкоев</w:t>
      </w:r>
    </w:p>
    <w:p>
      <w:pPr>
        <w:pStyle w:val="Style21"/>
        <w:widowControl w:val="0"/>
        <w:keepNext w:val="0"/>
        <w:keepLines w:val="0"/>
        <w:shd w:val="clear" w:color="auto" w:fill="auto"/>
        <w:bidi w:val="0"/>
        <w:spacing w:before="0" w:after="0"/>
        <w:ind w:left="0" w:right="20" w:firstLine="0"/>
      </w:pPr>
      <w:r>
        <w:rPr>
          <w:lang w:val="ru-RU" w:eastAsia="ru-RU" w:bidi="ru-RU"/>
          <w:w w:val="100"/>
          <w:color w:val="000000"/>
          <w:position w:val="0"/>
        </w:rPr>
        <w:t>Насюящее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21"/>
        <w:widowControl w:val="0"/>
        <w:keepNext w:val="0"/>
        <w:keepLines w:val="0"/>
        <w:shd w:val="clear" w:color="auto" w:fill="auto"/>
        <w:bidi w:val="0"/>
        <w:spacing w:before="0" w:after="0"/>
        <w:ind w:left="0" w:right="20" w:firstLine="0"/>
      </w:pPr>
      <w:r>
        <w:rPr>
          <w:lang w:val="ru-RU" w:eastAsia="ru-RU" w:bidi="ru-RU"/>
          <w:w w:val="10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6" w:h="16838"/>
      <w:pgMar w:top="431" w:left="1062" w:right="1066" w:bottom="77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10"/>
        <w:color w:val="000000"/>
        <w:position w:val="0"/>
      </w:rPr>
    </w:lvl>
  </w:abstractNum>
  <w:abstractNum w:abstractNumId="6">
    <w:multiLevelType w:val="multilevel"/>
    <w:lvl w:ilvl="0">
      <w:start w:val="1"/>
      <w:numFmt w:val="decimal"/>
      <w:lvlText w:val="%1."/>
      <w:rPr>
        <w:lang w:val="ru-RU" w:eastAsia="ru-RU" w:bidi="ru-RU"/>
        <w:b/>
        <w:bCs/>
        <w:i w:val="0"/>
        <w:iCs w:val="0"/>
        <w:u w:val="none"/>
        <w:strike w:val="0"/>
        <w:smallCaps w:val="0"/>
        <w:sz w:val="24"/>
        <w:szCs w:val="24"/>
        <w:rFonts w:ascii="Times New Roman" w:eastAsia="Times New Roman" w:hAnsi="Times New Roman" w:cs="Times New Roman"/>
        <w:w w:val="100"/>
        <w:spacing w:val="1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rFonts w:ascii="Times New Roman" w:eastAsia="Times New Roman" w:hAnsi="Times New Roman" w:cs="Times New Roman"/>
    </w:rPr>
  </w:style>
  <w:style w:type="character" w:customStyle="1" w:styleId="CharStyle5">
    <w:name w:val="Основной текст"/>
    <w:basedOn w:val="CharStyle4"/>
    <w:rPr>
      <w:lang w:val="ru-RU" w:eastAsia="ru-RU" w:bidi="ru-RU"/>
      <w:sz w:val="24"/>
      <w:szCs w:val="24"/>
      <w:w w:val="100"/>
      <w:spacing w:val="0"/>
      <w:color w:val="000000"/>
      <w:position w:val="0"/>
    </w:rPr>
  </w:style>
  <w:style w:type="character" w:customStyle="1" w:styleId="CharStyle7">
    <w:name w:val="Основной текст (2)_"/>
    <w:basedOn w:val="DefaultParagraphFont"/>
    <w:link w:val="Style6"/>
    <w:rPr>
      <w:lang w:val="en-US" w:eastAsia="en-US" w:bidi="en-US"/>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8">
    <w:name w:val="Основной текст (2)"/>
    <w:basedOn w:val="CharStyle7"/>
    <w:rPr>
      <w:u w:val="single"/>
      <w:w w:val="100"/>
      <w:color w:val="000000"/>
      <w:position w:val="0"/>
    </w:rPr>
  </w:style>
  <w:style w:type="character" w:customStyle="1" w:styleId="CharStyle9">
    <w:name w:val="Основной текст"/>
    <w:basedOn w:val="CharStyle4"/>
    <w:rPr>
      <w:lang w:val="ru-RU" w:eastAsia="ru-RU" w:bidi="ru-RU"/>
      <w:u w:val="single"/>
      <w:sz w:val="24"/>
      <w:szCs w:val="24"/>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8"/>
      <w:szCs w:val="28"/>
      <w:rFonts w:ascii="Times New Roman" w:eastAsia="Times New Roman" w:hAnsi="Times New Roman" w:cs="Times New Roman"/>
      <w:spacing w:val="-20"/>
    </w:rPr>
  </w:style>
  <w:style w:type="character" w:customStyle="1" w:styleId="CharStyle12">
    <w:name w:val="Заголовок №1"/>
    <w:basedOn w:val="CharStyle11"/>
    <w:rPr>
      <w:lang w:val="ru-RU" w:eastAsia="ru-RU" w:bidi="ru-RU"/>
      <w:w w:val="100"/>
      <w:color w:val="000000"/>
      <w:position w:val="0"/>
    </w:rPr>
  </w:style>
  <w:style w:type="character" w:customStyle="1" w:styleId="CharStyle14">
    <w:name w:val="Основной текст (3)_"/>
    <w:basedOn w:val="DefaultParagraphFont"/>
    <w:link w:val="Style13"/>
    <w:rPr>
      <w:b w:val="0"/>
      <w:bCs w:val="0"/>
      <w:i/>
      <w:iCs/>
      <w:u w:val="none"/>
      <w:strike w:val="0"/>
      <w:smallCaps w:val="0"/>
      <w:rFonts w:ascii="Times New Roman" w:eastAsia="Times New Roman" w:hAnsi="Times New Roman" w:cs="Times New Roman"/>
    </w:rPr>
  </w:style>
  <w:style w:type="character" w:customStyle="1" w:styleId="CharStyle15">
    <w:name w:val="Основной текст (3) + Не курсив"/>
    <w:basedOn w:val="CharStyle14"/>
    <w:rPr>
      <w:lang w:val="ru-RU" w:eastAsia="ru-RU" w:bidi="ru-RU"/>
      <w:i/>
      <w:iCs/>
      <w:sz w:val="24"/>
      <w:szCs w:val="24"/>
      <w:w w:val="100"/>
      <w:spacing w:val="0"/>
      <w:color w:val="000000"/>
      <w:position w:val="0"/>
    </w:rPr>
  </w:style>
  <w:style w:type="character" w:customStyle="1" w:styleId="CharStyle16">
    <w:name w:val="Основной текст + Полужирный,Интервал 0 pt"/>
    <w:basedOn w:val="CharStyle4"/>
    <w:rPr>
      <w:lang w:val="ru-RU" w:eastAsia="ru-RU" w:bidi="ru-RU"/>
      <w:b/>
      <w:bCs/>
      <w:sz w:val="24"/>
      <w:szCs w:val="24"/>
      <w:w w:val="100"/>
      <w:spacing w:val="10"/>
      <w:color w:val="000000"/>
      <w:position w:val="0"/>
    </w:rPr>
  </w:style>
  <w:style w:type="character" w:customStyle="1" w:styleId="CharStyle17">
    <w:name w:val="Основной текст + 10,5 pt"/>
    <w:basedOn w:val="CharStyle4"/>
    <w:rPr>
      <w:lang w:val="ru-RU" w:eastAsia="ru-RU" w:bidi="ru-RU"/>
      <w:sz w:val="21"/>
      <w:szCs w:val="21"/>
      <w:w w:val="100"/>
      <w:spacing w:val="0"/>
      <w:color w:val="000000"/>
      <w:position w:val="0"/>
    </w:rPr>
  </w:style>
  <w:style w:type="character" w:customStyle="1" w:styleId="CharStyle19">
    <w:name w:val="Основной текст (4)_"/>
    <w:basedOn w:val="DefaultParagraphFont"/>
    <w:link w:val="Style18"/>
    <w:rPr>
      <w:b/>
      <w:bCs/>
      <w:i w:val="0"/>
      <w:iCs w:val="0"/>
      <w:u w:val="none"/>
      <w:strike w:val="0"/>
      <w:smallCaps w:val="0"/>
      <w:rFonts w:ascii="Times New Roman" w:eastAsia="Times New Roman" w:hAnsi="Times New Roman" w:cs="Times New Roman"/>
      <w:spacing w:val="10"/>
    </w:rPr>
  </w:style>
  <w:style w:type="character" w:customStyle="1" w:styleId="CharStyle20">
    <w:name w:val="Основной текст Exact"/>
    <w:basedOn w:val="DefaultParagraphFont"/>
    <w:rPr>
      <w:b w:val="0"/>
      <w:bCs w:val="0"/>
      <w:i w:val="0"/>
      <w:iCs w:val="0"/>
      <w:u w:val="none"/>
      <w:strike w:val="0"/>
      <w:smallCaps w:val="0"/>
      <w:rFonts w:ascii="Times New Roman" w:eastAsia="Times New Roman" w:hAnsi="Times New Roman" w:cs="Times New Roman"/>
      <w:spacing w:val="10"/>
    </w:rPr>
  </w:style>
  <w:style w:type="character" w:customStyle="1" w:styleId="CharStyle22">
    <w:name w:val="Основной текст (5)_"/>
    <w:basedOn w:val="DefaultParagraphFont"/>
    <w:link w:val="Style21"/>
    <w:rPr>
      <w:b w:val="0"/>
      <w:bCs w:val="0"/>
      <w:i w:val="0"/>
      <w:iCs w:val="0"/>
      <w:u w:val="none"/>
      <w:strike w:val="0"/>
      <w:smallCaps w:val="0"/>
      <w:sz w:val="17"/>
      <w:szCs w:val="17"/>
      <w:rFonts w:ascii="Times New Roman" w:eastAsia="Times New Roman" w:hAnsi="Times New Roman" w:cs="Times New Roman"/>
      <w:spacing w:val="10"/>
    </w:rPr>
  </w:style>
  <w:style w:type="paragraph" w:customStyle="1" w:styleId="Style3">
    <w:name w:val="Основной текст"/>
    <w:basedOn w:val="Normal"/>
    <w:link w:val="CharStyle4"/>
    <w:pPr>
      <w:widowControl w:val="0"/>
      <w:shd w:val="clear" w:color="auto" w:fill="FFFFFF"/>
      <w:spacing w:line="320" w:lineRule="exact"/>
    </w:pPr>
    <w:rPr>
      <w:b w:val="0"/>
      <w:bCs w:val="0"/>
      <w:i w:val="0"/>
      <w:iCs w:val="0"/>
      <w:u w:val="none"/>
      <w:strike w:val="0"/>
      <w:smallCaps w:val="0"/>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after="300" w:line="320" w:lineRule="exact"/>
    </w:pPr>
    <w:rPr>
      <w:lang w:val="en-US" w:eastAsia="en-US" w:bidi="en-US"/>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10">
    <w:name w:val="Заголовок №1"/>
    <w:basedOn w:val="Normal"/>
    <w:link w:val="CharStyle11"/>
    <w:pPr>
      <w:widowControl w:val="0"/>
      <w:shd w:val="clear" w:color="auto" w:fill="FFFFFF"/>
      <w:jc w:val="right"/>
      <w:outlineLvl w:val="0"/>
      <w:spacing w:before="60" w:line="0" w:lineRule="exact"/>
    </w:pPr>
    <w:rPr>
      <w:b/>
      <w:bCs/>
      <w:i w:val="0"/>
      <w:iCs w:val="0"/>
      <w:u w:val="none"/>
      <w:strike w:val="0"/>
      <w:smallCaps w:val="0"/>
      <w:sz w:val="28"/>
      <w:szCs w:val="28"/>
      <w:rFonts w:ascii="Times New Roman" w:eastAsia="Times New Roman" w:hAnsi="Times New Roman" w:cs="Times New Roman"/>
      <w:spacing w:val="-20"/>
    </w:rPr>
  </w:style>
  <w:style w:type="paragraph" w:customStyle="1" w:styleId="Style13">
    <w:name w:val="Основной текст (3)"/>
    <w:basedOn w:val="Normal"/>
    <w:link w:val="CharStyle14"/>
    <w:pPr>
      <w:widowControl w:val="0"/>
      <w:shd w:val="clear" w:color="auto" w:fill="FFFFFF"/>
      <w:jc w:val="both"/>
      <w:spacing w:line="320" w:lineRule="exact"/>
      <w:ind w:firstLine="560"/>
    </w:pPr>
    <w:rPr>
      <w:b w:val="0"/>
      <w:bCs w:val="0"/>
      <w:i/>
      <w:iCs/>
      <w:u w:val="none"/>
      <w:strike w:val="0"/>
      <w:smallCaps w:val="0"/>
      <w:rFonts w:ascii="Times New Roman" w:eastAsia="Times New Roman" w:hAnsi="Times New Roman" w:cs="Times New Roman"/>
    </w:rPr>
  </w:style>
  <w:style w:type="paragraph" w:customStyle="1" w:styleId="Style18">
    <w:name w:val="Основной текст (4)"/>
    <w:basedOn w:val="Normal"/>
    <w:link w:val="CharStyle19"/>
    <w:pPr>
      <w:widowControl w:val="0"/>
      <w:shd w:val="clear" w:color="auto" w:fill="FFFFFF"/>
      <w:jc w:val="both"/>
      <w:spacing w:line="324" w:lineRule="exact"/>
      <w:ind w:firstLine="560"/>
    </w:pPr>
    <w:rPr>
      <w:b/>
      <w:bCs/>
      <w:i w:val="0"/>
      <w:iCs w:val="0"/>
      <w:u w:val="none"/>
      <w:strike w:val="0"/>
      <w:smallCaps w:val="0"/>
      <w:rFonts w:ascii="Times New Roman" w:eastAsia="Times New Roman" w:hAnsi="Times New Roman" w:cs="Times New Roman"/>
      <w:spacing w:val="10"/>
    </w:rPr>
  </w:style>
  <w:style w:type="paragraph" w:customStyle="1" w:styleId="Style21">
    <w:name w:val="Основной текст (5)"/>
    <w:basedOn w:val="Normal"/>
    <w:link w:val="CharStyle22"/>
    <w:pPr>
      <w:widowControl w:val="0"/>
      <w:shd w:val="clear" w:color="auto" w:fill="FFFFFF"/>
      <w:jc w:val="both"/>
      <w:spacing w:before="600" w:line="227" w:lineRule="exact"/>
    </w:pPr>
    <w:rPr>
      <w:b w:val="0"/>
      <w:bCs w:val="0"/>
      <w:i w:val="0"/>
      <w:iCs w:val="0"/>
      <w:u w:val="none"/>
      <w:strike w:val="0"/>
      <w:smallCaps w:val="0"/>
      <w:sz w:val="17"/>
      <w:szCs w:val="17"/>
      <w:rFonts w:ascii="Times New Roman" w:eastAsia="Times New Roman" w:hAnsi="Times New Roman" w:cs="Times New Roman"/>
      <w:spacing w:val="1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