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4800" w:h="3222" w:wrap="around" w:vAnchor="text" w:hAnchor="margin" w:x="-901" w:y="430"/>
        <w:widowControl w:val="0"/>
        <w:keepNext w:val="0"/>
        <w:keepLines w:val="0"/>
        <w:shd w:val="clear" w:color="auto" w:fill="auto"/>
        <w:bidi w:val="0"/>
        <w:spacing w:before="0" w:after="26"/>
        <w:ind w:left="0" w:right="140" w:firstLine="0"/>
      </w:pPr>
      <w:r>
        <w:rPr>
          <w:rStyle w:val="CharStyle5"/>
          <w:b/>
          <w:bCs/>
          <w:spacing w:val="0"/>
        </w:rPr>
        <w:t>ФЕДЕРАЛЬНАЯ АНТИМОНОПОЛЬНАЯ СЛУЖБА</w:t>
      </w:r>
    </w:p>
    <w:p>
      <w:pPr>
        <w:pStyle w:val="Style6"/>
        <w:framePr w:w="4800" w:h="3222" w:wrap="around" w:vAnchor="text" w:hAnchor="margin" w:x="-901" w:y="430"/>
        <w:widowControl w:val="0"/>
        <w:keepNext w:val="0"/>
        <w:keepLines w:val="0"/>
        <w:shd w:val="clear" w:color="auto" w:fill="auto"/>
        <w:bidi w:val="0"/>
        <w:jc w:val="left"/>
        <w:spacing w:before="0" w:after="132"/>
        <w:ind w:left="0" w:right="100"/>
      </w:pPr>
      <w:r>
        <w:rPr>
          <w:rStyle w:val="CharStyle8"/>
          <w:b/>
          <w:bCs/>
          <w:spacing w:val="0"/>
        </w:rPr>
        <w:t>УПРАВЛЕНИЕ Федеральной антимонопольной службы по Ярославской области</w:t>
      </w:r>
    </w:p>
    <w:p>
      <w:pPr>
        <w:pStyle w:val="Style9"/>
        <w:framePr w:w="4800" w:h="3222" w:wrap="around" w:vAnchor="text" w:hAnchor="margin" w:x="-901" w:y="430"/>
        <w:widowControl w:val="0"/>
        <w:keepNext w:val="0"/>
        <w:keepLines w:val="0"/>
        <w:shd w:val="clear" w:color="auto" w:fill="auto"/>
        <w:bidi w:val="0"/>
        <w:spacing w:before="0" w:after="727"/>
        <w:ind w:left="0" w:right="140" w:firstLine="0"/>
      </w:pPr>
      <w:r>
        <w:rPr>
          <w:rStyle w:val="CharStyle11"/>
          <w:spacing w:val="0"/>
        </w:rPr>
        <w:t xml:space="preserve">Свободы ул., д. 46, г. Ярославль, </w:t>
      </w:r>
      <w:r>
        <w:rPr>
          <w:lang w:val="ru-RU" w:eastAsia="ru-RU" w:bidi="ru-RU"/>
          <w:w w:val="100"/>
          <w:spacing w:val="0"/>
          <w:color w:val="000000"/>
          <w:position w:val="0"/>
        </w:rPr>
        <w:t>1</w:t>
      </w:r>
      <w:r>
        <w:rPr>
          <w:rStyle w:val="CharStyle11"/>
          <w:spacing w:val="0"/>
        </w:rPr>
        <w:t xml:space="preserve">50999 тел. (4852) 72-95-20, факс (4852) 32-93-71 </w:t>
      </w:r>
      <w:r>
        <w:rPr>
          <w:rStyle w:val="CharStyle11"/>
          <w:lang w:val="en-US" w:eastAsia="en-US" w:bidi="en-US"/>
          <w:spacing w:val="0"/>
        </w:rPr>
        <w:t xml:space="preserve">e-mail: </w:t>
      </w:r>
      <w:r>
        <w:fldChar w:fldCharType="begin"/>
      </w:r>
      <w:r>
        <w:rPr>
          <w:rStyle w:val="CharStyle11"/>
        </w:rPr>
        <w:instrText> HYPERLINK "mailto:to76@fas.gov.ru" </w:instrText>
      </w:r>
      <w:r>
        <w:fldChar w:fldCharType="separate"/>
      </w:r>
      <w:r>
        <w:rPr>
          <w:rStyle w:val="Hyperlink"/>
          <w:lang w:val="en-US" w:eastAsia="en-US" w:bidi="en-US"/>
          <w:spacing w:val="0"/>
        </w:rPr>
        <w:t>to76@fas.gov.ru</w:t>
      </w:r>
      <w:r>
        <w:fldChar w:fldCharType="end"/>
      </w:r>
    </w:p>
    <w:p>
      <w:pPr>
        <w:pStyle w:val="Style3"/>
        <w:framePr w:w="4800" w:h="3222" w:wrap="around" w:vAnchor="text" w:hAnchor="margin" w:x="-901" w:y="430"/>
        <w:tabs>
          <w:tab w:leader="none" w:pos="2547" w:val="right"/>
        </w:tabs>
        <w:widowControl w:val="0"/>
        <w:keepNext w:val="0"/>
        <w:keepLines w:val="0"/>
        <w:shd w:val="clear" w:color="auto" w:fill="auto"/>
        <w:bidi w:val="0"/>
        <w:jc w:val="both"/>
        <w:spacing w:before="0" w:after="0" w:line="200" w:lineRule="exact"/>
        <w:ind w:left="520" w:right="0" w:firstLine="0"/>
      </w:pPr>
      <w:r>
        <w:rPr>
          <w:rStyle w:val="CharStyle12"/>
          <w:b/>
          <w:bCs/>
          <w:spacing w:val="0"/>
        </w:rPr>
        <w:t>На №</w:t>
        <w:tab/>
        <w:t>от</w:t>
      </w:r>
    </w:p>
    <w:p>
      <w:pPr>
        <w:pStyle w:val="Style13"/>
        <w:widowControl w:val="0"/>
        <w:keepNext w:val="0"/>
        <w:keepLines w:val="0"/>
        <w:shd w:val="clear" w:color="auto" w:fill="auto"/>
        <w:bidi w:val="0"/>
        <w:spacing w:before="0" w:after="0"/>
        <w:ind w:left="740" w:right="20" w:firstLine="0"/>
      </w:pPr>
      <w:r>
        <w:rPr>
          <w:lang w:val="ru-RU" w:eastAsia="ru-RU" w:bidi="ru-RU"/>
          <w:sz w:val="24"/>
          <w:szCs w:val="24"/>
          <w:w w:val="100"/>
          <w:spacing w:val="0"/>
          <w:color w:val="000000"/>
          <w:position w:val="0"/>
        </w:rPr>
        <w:t>Общество с ограниченной ответственностью «Синтез»</w:t>
      </w:r>
    </w:p>
    <w:p>
      <w:pPr>
        <w:pStyle w:val="Style13"/>
        <w:widowControl w:val="0"/>
        <w:keepNext w:val="0"/>
        <w:keepLines w:val="0"/>
        <w:shd w:val="clear" w:color="auto" w:fill="auto"/>
        <w:bidi w:val="0"/>
        <w:jc w:val="left"/>
        <w:spacing w:before="0" w:after="0"/>
        <w:ind w:left="1320" w:right="20" w:firstLine="0"/>
      </w:pPr>
      <w:r>
        <w:rPr>
          <w:lang w:val="ru-RU" w:eastAsia="ru-RU" w:bidi="ru-RU"/>
          <w:sz w:val="24"/>
          <w:szCs w:val="24"/>
          <w:w w:val="100"/>
          <w:spacing w:val="0"/>
          <w:color w:val="000000"/>
          <w:position w:val="0"/>
        </w:rPr>
        <w:t>630090, Новосибирская область, г. Новосибирск, ул. Терешковой, д. 8, к. 178</w:t>
      </w:r>
    </w:p>
    <w:p>
      <w:pPr>
        <w:pStyle w:val="Style13"/>
        <w:widowControl w:val="0"/>
        <w:keepNext w:val="0"/>
        <w:keepLines w:val="0"/>
        <w:shd w:val="clear" w:color="auto" w:fill="auto"/>
        <w:bidi w:val="0"/>
        <w:jc w:val="left"/>
        <w:spacing w:before="0" w:after="240"/>
        <w:ind w:left="1320" w:right="0" w:firstLine="0"/>
      </w:pPr>
      <w:r>
        <w:fldChar w:fldCharType="begin"/>
      </w:r>
      <w:r>
        <w:rPr>
          <w:color w:val="000000"/>
        </w:rPr>
        <w:instrText> HYPERLINK "mailto:sintezl417@gmail.com" </w:instrText>
      </w:r>
      <w:r>
        <w:fldChar w:fldCharType="separate"/>
      </w:r>
      <w:r>
        <w:rPr>
          <w:rStyle w:val="Hyperlink"/>
          <w:lang w:val="en-US" w:eastAsia="en-US" w:bidi="en-US"/>
          <w:sz w:val="24"/>
          <w:szCs w:val="24"/>
          <w:w w:val="100"/>
          <w:spacing w:val="0"/>
          <w:position w:val="0"/>
        </w:rPr>
        <w:t>sintezl417@gmail.com</w:t>
      </w:r>
      <w:r>
        <w:fldChar w:fldCharType="end"/>
      </w:r>
    </w:p>
    <w:p>
      <w:pPr>
        <w:pStyle w:val="Style13"/>
        <w:widowControl w:val="0"/>
        <w:keepNext w:val="0"/>
        <w:keepLines w:val="0"/>
        <w:shd w:val="clear" w:color="auto" w:fill="auto"/>
        <w:bidi w:val="0"/>
        <w:jc w:val="left"/>
        <w:spacing w:before="0" w:after="0"/>
        <w:ind w:left="1320" w:right="20" w:firstLine="0"/>
      </w:pPr>
      <w:r>
        <w:rPr>
          <w:lang w:val="ru-RU" w:eastAsia="ru-RU" w:bidi="ru-RU"/>
          <w:sz w:val="24"/>
          <w:szCs w:val="24"/>
          <w:w w:val="100"/>
          <w:spacing w:val="0"/>
          <w:color w:val="000000"/>
          <w:position w:val="0"/>
        </w:rPr>
        <w:t>Государственное бюджетное клиническое учреждение здравоохранения Ярославской области «Ярославская областная психиатрическая больница»</w:t>
      </w:r>
    </w:p>
    <w:p>
      <w:pPr>
        <w:pStyle w:val="Style13"/>
        <w:widowControl w:val="0"/>
        <w:keepNext w:val="0"/>
        <w:keepLines w:val="0"/>
        <w:shd w:val="clear" w:color="auto" w:fill="auto"/>
        <w:bidi w:val="0"/>
        <w:jc w:val="both"/>
        <w:spacing w:before="0" w:after="0"/>
        <w:ind w:left="5180" w:right="20" w:firstLine="0"/>
      </w:pPr>
      <w:r>
        <w:rPr>
          <w:lang w:val="ru-RU" w:eastAsia="ru-RU" w:bidi="ru-RU"/>
          <w:sz w:val="24"/>
          <w:szCs w:val="24"/>
          <w:w w:val="100"/>
          <w:spacing w:val="0"/>
          <w:color w:val="000000"/>
          <w:position w:val="0"/>
        </w:rPr>
        <w:t>150003, г. Ярославль, ул. Загородный сад, д.6</w:t>
      </w:r>
    </w:p>
    <w:p>
      <w:pPr>
        <w:pStyle w:val="Style13"/>
        <w:widowControl w:val="0"/>
        <w:keepNext w:val="0"/>
        <w:keepLines w:val="0"/>
        <w:shd w:val="clear" w:color="auto" w:fill="auto"/>
        <w:bidi w:val="0"/>
        <w:spacing w:before="0" w:after="125"/>
        <w:ind w:left="0" w:right="20" w:firstLine="0"/>
      </w:pPr>
      <w:r>
        <w:fldChar w:fldCharType="begin"/>
      </w:r>
      <w:r>
        <w:rPr>
          <w:color w:val="000000"/>
        </w:rPr>
        <w:instrText> HYPERLINK "mailto:zakupki@yaokpb.ru" </w:instrText>
      </w:r>
      <w:r>
        <w:fldChar w:fldCharType="separate"/>
      </w:r>
      <w:r>
        <w:rPr>
          <w:rStyle w:val="Hyperlink"/>
          <w:lang w:val="en-US" w:eastAsia="en-US" w:bidi="en-US"/>
          <w:sz w:val="24"/>
          <w:szCs w:val="24"/>
          <w:w w:val="100"/>
          <w:spacing w:val="0"/>
          <w:position w:val="0"/>
        </w:rPr>
        <w:t>zakupki@yaokpb.ru</w:t>
      </w:r>
      <w:r>
        <w:fldChar w:fldCharType="end"/>
      </w:r>
    </w:p>
    <w:p>
      <w:pPr>
        <w:pStyle w:val="Style13"/>
        <w:widowControl w:val="0"/>
        <w:keepNext w:val="0"/>
        <w:keepLines w:val="0"/>
        <w:shd w:val="clear" w:color="auto" w:fill="auto"/>
        <w:bidi w:val="0"/>
        <w:jc w:val="center"/>
        <w:spacing w:before="0" w:after="0" w:line="443" w:lineRule="exact"/>
        <w:ind w:left="0" w:right="20" w:firstLine="0"/>
      </w:pPr>
      <w:r>
        <w:rPr>
          <w:lang w:val="ru-RU" w:eastAsia="ru-RU" w:bidi="ru-RU"/>
          <w:sz w:val="24"/>
          <w:szCs w:val="24"/>
          <w:w w:val="100"/>
          <w:spacing w:val="0"/>
          <w:color w:val="000000"/>
          <w:position w:val="0"/>
        </w:rPr>
        <w:t>РЕШЕНИЕ</w:t>
      </w:r>
    </w:p>
    <w:p>
      <w:pPr>
        <w:pStyle w:val="Style13"/>
        <w:widowControl w:val="0"/>
        <w:keepNext w:val="0"/>
        <w:keepLines w:val="0"/>
        <w:shd w:val="clear" w:color="auto" w:fill="auto"/>
        <w:bidi w:val="0"/>
        <w:jc w:val="center"/>
        <w:spacing w:before="0" w:after="0" w:line="443" w:lineRule="exact"/>
        <w:ind w:left="0" w:right="20" w:firstLine="0"/>
      </w:pPr>
      <w:r>
        <w:rPr>
          <w:lang w:val="ru-RU" w:eastAsia="ru-RU" w:bidi="ru-RU"/>
          <w:sz w:val="24"/>
          <w:szCs w:val="24"/>
          <w:w w:val="100"/>
          <w:spacing w:val="0"/>
          <w:color w:val="000000"/>
          <w:position w:val="0"/>
        </w:rPr>
        <w:t>по делу № 076/06/83.2-605/2020</w:t>
      </w:r>
    </w:p>
    <w:p>
      <w:pPr>
        <w:pStyle w:val="Style13"/>
        <w:widowControl w:val="0"/>
        <w:keepNext w:val="0"/>
        <w:keepLines w:val="0"/>
        <w:shd w:val="clear" w:color="auto" w:fill="auto"/>
        <w:bidi w:val="0"/>
        <w:jc w:val="both"/>
        <w:spacing w:before="0" w:after="0" w:line="443" w:lineRule="exact"/>
        <w:ind w:left="20" w:right="0" w:firstLine="720"/>
      </w:pPr>
      <w:r>
        <w:rPr>
          <w:lang w:val="ru-RU" w:eastAsia="ru-RU" w:bidi="ru-RU"/>
          <w:sz w:val="24"/>
          <w:szCs w:val="24"/>
          <w:w w:val="100"/>
          <w:spacing w:val="0"/>
          <w:color w:val="000000"/>
          <w:position w:val="0"/>
        </w:rPr>
        <w:t>Резолютивная часть решения объявлена 10 июля 2020 года</w:t>
      </w:r>
    </w:p>
    <w:p>
      <w:pPr>
        <w:pStyle w:val="Style13"/>
        <w:widowControl w:val="0"/>
        <w:keepNext w:val="0"/>
        <w:keepLines w:val="0"/>
        <w:shd w:val="clear" w:color="auto" w:fill="auto"/>
        <w:bidi w:val="0"/>
        <w:spacing w:before="0" w:after="263" w:line="240" w:lineRule="exact"/>
        <w:ind w:left="0" w:right="20" w:firstLine="0"/>
      </w:pPr>
      <w:r>
        <w:rPr>
          <w:lang w:val="ru-RU" w:eastAsia="ru-RU" w:bidi="ru-RU"/>
          <w:sz w:val="24"/>
          <w:szCs w:val="24"/>
          <w:w w:val="100"/>
          <w:spacing w:val="0"/>
          <w:color w:val="000000"/>
          <w:position w:val="0"/>
        </w:rPr>
        <w:t>Решение изготовлено в полном объеме 15 июля 2020 года г. Ярославль</w:t>
      </w:r>
    </w:p>
    <w:p>
      <w:pPr>
        <w:pStyle w:val="Style13"/>
        <w:widowControl w:val="0"/>
        <w:keepNext w:val="0"/>
        <w:keepLines w:val="0"/>
        <w:shd w:val="clear" w:color="auto" w:fill="auto"/>
        <w:bidi w:val="0"/>
        <w:jc w:val="both"/>
        <w:spacing w:before="0" w:after="0" w:line="295" w:lineRule="exact"/>
        <w:ind w:left="20" w:right="20" w:firstLine="720"/>
      </w:pPr>
      <w:r>
        <w:rPr>
          <w:lang w:val="ru-RU" w:eastAsia="ru-RU" w:bidi="ru-RU"/>
          <w:sz w:val="24"/>
          <w:szCs w:val="24"/>
          <w:w w:val="100"/>
          <w:spacing w:val="0"/>
          <w:color w:val="000000"/>
          <w:position w:val="0"/>
        </w:rPr>
        <w:t>Комиссия Управления Федеральной антимонопольной службы по Ярославской области по контролю закупок (далее также - Комиссия) в составе: председатель Комиссии - заместитель руководителя управления Лебедева С. ТТ., члены Комиссии - главный специалист-эксперт отдела контроля закупок Семенычева Е. К., специалист-эксперт отдела контроля закупок Ерофеева И. С., с участием:</w:t>
      </w:r>
    </w:p>
    <w:p>
      <w:pPr>
        <w:pStyle w:val="Style13"/>
        <w:widowControl w:val="0"/>
        <w:keepNext w:val="0"/>
        <w:keepLines w:val="0"/>
        <w:shd w:val="clear" w:color="auto" w:fill="auto"/>
        <w:bidi w:val="0"/>
        <w:jc w:val="both"/>
        <w:spacing w:before="0" w:after="0" w:line="295" w:lineRule="exact"/>
        <w:ind w:left="20" w:right="20" w:firstLine="720"/>
      </w:pPr>
      <w:r>
        <w:rPr>
          <w:lang w:val="ru-RU" w:eastAsia="ru-RU" w:bidi="ru-RU"/>
          <w:sz w:val="24"/>
          <w:szCs w:val="24"/>
          <w:w w:val="100"/>
          <w:spacing w:val="0"/>
          <w:color w:val="000000"/>
          <w:position w:val="0"/>
        </w:rPr>
        <w:t>заявитель, общество с ограниченной ответственностью «Синтез» (далее также - ООО «Синтез», заявитель, общество) - обеспечил участие представителя до доверенности Шмагова А. М. посредством видеоконференцсвязи;</w:t>
      </w:r>
    </w:p>
    <w:p>
      <w:pPr>
        <w:pStyle w:val="Style13"/>
        <w:widowControl w:val="0"/>
        <w:keepNext w:val="0"/>
        <w:keepLines w:val="0"/>
        <w:shd w:val="clear" w:color="auto" w:fill="auto"/>
        <w:bidi w:val="0"/>
        <w:jc w:val="both"/>
        <w:spacing w:before="0" w:after="568" w:line="295" w:lineRule="exact"/>
        <w:ind w:left="20" w:right="20" w:firstLine="720"/>
      </w:pPr>
      <w:r>
        <w:rPr>
          <w:lang w:val="ru-RU" w:eastAsia="ru-RU" w:bidi="ru-RU"/>
          <w:sz w:val="24"/>
          <w:szCs w:val="24"/>
          <w:w w:val="100"/>
          <w:spacing w:val="0"/>
          <w:color w:val="000000"/>
          <w:position w:val="0"/>
        </w:rPr>
        <w:t xml:space="preserve">заказчик, государственное бюджетное клиническое учреждение здравоохранения Ярославской области «Ярославская областная психиатрическая больница» (далее также - ГБКУЗ ЯО «ЯОПБ», заказчик) - обеспечил участие представителя до доверенности Гуровой Е. А. посредством видеоконференцсвязи, рассмотрев жалобу общества с ограниченной ответственностью ООО «Синтез» на действия заказчика, государственного бюджетного клинического учреждения здравоохранения Ярославской области «Ярославская областная психиатрическая больница», при проведении электронного аукциона на право заключения государственного контракта на поставку расходных материалов медицинского назначения (наборы реагентов для иммуноферментного выявления </w:t>
      </w:r>
      <w:r>
        <w:rPr>
          <w:lang w:val="en-US" w:eastAsia="en-US" w:bidi="en-US"/>
          <w:sz w:val="24"/>
          <w:szCs w:val="24"/>
          <w:w w:val="100"/>
          <w:spacing w:val="0"/>
          <w:color w:val="000000"/>
          <w:position w:val="0"/>
        </w:rPr>
        <w:t xml:space="preserve">HBsAg </w:t>
      </w:r>
      <w:r>
        <w:rPr>
          <w:lang w:val="ru-RU" w:eastAsia="ru-RU" w:bidi="ru-RU"/>
          <w:sz w:val="24"/>
          <w:szCs w:val="24"/>
          <w:w w:val="100"/>
          <w:spacing w:val="0"/>
          <w:color w:val="000000"/>
          <w:position w:val="0"/>
        </w:rPr>
        <w:t xml:space="preserve">и иммуноглобулинов классов </w:t>
      </w:r>
      <w:r>
        <w:rPr>
          <w:lang w:val="en-US" w:eastAsia="en-US" w:bidi="en-US"/>
          <w:sz w:val="24"/>
          <w:szCs w:val="24"/>
          <w:w w:val="100"/>
          <w:spacing w:val="0"/>
          <w:color w:val="000000"/>
          <w:position w:val="0"/>
        </w:rPr>
        <w:t xml:space="preserve">G </w:t>
      </w:r>
      <w:r>
        <w:rPr>
          <w:lang w:val="ru-RU" w:eastAsia="ru-RU" w:bidi="ru-RU"/>
          <w:sz w:val="24"/>
          <w:szCs w:val="24"/>
          <w:w w:val="100"/>
          <w:spacing w:val="0"/>
          <w:color w:val="000000"/>
          <w:position w:val="0"/>
        </w:rPr>
        <w:t>и М к вирусу гепатита С) (извещение № 0371500000520000135) (далее также - электронный аукцион, аукцион, закупка) и в результате осуществления внеплановой проверки в соответствии с частью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также - Федеральный закон от 05.04.2013 № 44-ФЗ, законодательство о контрактной системе), Административным регламентом</w:t>
      </w:r>
    </w:p>
    <w:p>
      <w:pPr>
        <w:pStyle w:val="Style15"/>
        <w:widowControl w:val="0"/>
        <w:keepNext/>
        <w:keepLines/>
        <w:shd w:val="clear" w:color="auto" w:fill="auto"/>
        <w:bidi w:val="0"/>
        <w:jc w:val="left"/>
        <w:spacing w:before="0" w:after="0" w:line="260" w:lineRule="exact"/>
        <w:ind w:left="3600" w:right="0" w:firstLine="0"/>
      </w:pPr>
      <w:bookmarkStart w:id="0" w:name="bookmark0"/>
      <w:r>
        <w:rPr>
          <w:lang w:val="ru-RU" w:eastAsia="ru-RU" w:bidi="ru-RU"/>
          <w:rFonts w:ascii="Courier New" w:eastAsia="Courier New" w:hAnsi="Courier New" w:cs="Courier New"/>
          <w:w w:val="100"/>
          <w:color w:val="000000"/>
          <w:position w:val="0"/>
        </w:rPr>
        <w:t>006219</w:t>
      </w:r>
      <w:bookmarkEnd w:id="0"/>
      <w:r>
        <w:br w:type="page"/>
      </w:r>
    </w:p>
    <w:p>
      <w:pPr>
        <w:pStyle w:val="Style13"/>
        <w:widowControl w:val="0"/>
        <w:keepNext w:val="0"/>
        <w:keepLines w:val="0"/>
        <w:shd w:val="clear" w:color="auto" w:fill="auto"/>
        <w:bidi w:val="0"/>
        <w:jc w:val="both"/>
        <w:spacing w:before="0" w:after="0"/>
        <w:ind w:left="40" w:right="40" w:firstLine="0"/>
      </w:pPr>
      <w:r>
        <w:rPr>
          <w:lang w:val="ru-RU" w:eastAsia="ru-RU" w:bidi="ru-RU"/>
          <w:sz w:val="24"/>
          <w:szCs w:val="24"/>
          <w:w w:val="100"/>
          <w:spacing w:val="0"/>
          <w:color w:val="000000"/>
          <w:position w:val="0"/>
        </w:rPr>
        <w:t>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(далее - Административный регламент, утвержденный приказом ФАС России от 19.11.2014 № 727/14),</w:t>
      </w:r>
    </w:p>
    <w:p>
      <w:pPr>
        <w:pStyle w:val="Style13"/>
        <w:widowControl w:val="0"/>
        <w:keepNext w:val="0"/>
        <w:keepLines w:val="0"/>
        <w:shd w:val="clear" w:color="auto" w:fill="auto"/>
        <w:bidi w:val="0"/>
        <w:jc w:val="left"/>
        <w:spacing w:before="0" w:after="0"/>
        <w:ind w:left="4400" w:right="0" w:firstLine="0"/>
      </w:pPr>
      <w:r>
        <w:rPr>
          <w:lang w:val="ru-RU" w:eastAsia="ru-RU" w:bidi="ru-RU"/>
          <w:sz w:val="24"/>
          <w:szCs w:val="24"/>
          <w:w w:val="100"/>
          <w:spacing w:val="0"/>
          <w:color w:val="000000"/>
          <w:position w:val="0"/>
        </w:rPr>
        <w:t>установила:</w:t>
      </w:r>
    </w:p>
    <w:p>
      <w:pPr>
        <w:pStyle w:val="Style13"/>
        <w:numPr>
          <w:ilvl w:val="0"/>
          <w:numId w:val="1"/>
        </w:numPr>
        <w:tabs>
          <w:tab w:leader="none" w:pos="2175" w:val="left"/>
        </w:tabs>
        <w:widowControl w:val="0"/>
        <w:keepNext w:val="0"/>
        <w:keepLines w:val="0"/>
        <w:shd w:val="clear" w:color="auto" w:fill="auto"/>
        <w:bidi w:val="0"/>
        <w:jc w:val="both"/>
        <w:spacing w:before="0" w:after="0"/>
        <w:ind w:left="40" w:right="40" w:firstLine="700"/>
      </w:pPr>
      <w:r>
        <w:rPr>
          <w:lang w:val="ru-RU" w:eastAsia="ru-RU" w:bidi="ru-RU"/>
          <w:sz w:val="24"/>
          <w:szCs w:val="24"/>
          <w:w w:val="100"/>
          <w:spacing w:val="0"/>
          <w:color w:val="000000"/>
          <w:position w:val="0"/>
        </w:rPr>
        <w:t xml:space="preserve">в Управление Федеральной антимонопольной службы по Ярославской области (далее - Ярославское УФАС России) поступила жалоба общества с ограниченной ответственностью «Синтез» на действия заказчика, государственного бюджетного клинического учреждения здравоохранения Ярославской области «Ярославская областная психиатрическая больница», при проведении электронного аукциона на право заключения государственного контракта на поставку расходных материалов медицинского назначения (наборы реагентов для иммуноферментного выявления </w:t>
      </w:r>
      <w:r>
        <w:rPr>
          <w:lang w:val="en-US" w:eastAsia="en-US" w:bidi="en-US"/>
          <w:sz w:val="24"/>
          <w:szCs w:val="24"/>
          <w:w w:val="100"/>
          <w:spacing w:val="0"/>
          <w:color w:val="000000"/>
          <w:position w:val="0"/>
        </w:rPr>
        <w:t xml:space="preserve">HBsAg </w:t>
      </w:r>
      <w:r>
        <w:rPr>
          <w:lang w:val="ru-RU" w:eastAsia="ru-RU" w:bidi="ru-RU"/>
          <w:sz w:val="24"/>
          <w:szCs w:val="24"/>
          <w:w w:val="100"/>
          <w:spacing w:val="0"/>
          <w:color w:val="000000"/>
          <w:position w:val="0"/>
        </w:rPr>
        <w:t xml:space="preserve">и иммуноглобулинов классов </w:t>
      </w:r>
      <w:r>
        <w:rPr>
          <w:lang w:val="en-US" w:eastAsia="en-US" w:bidi="en-US"/>
          <w:sz w:val="24"/>
          <w:szCs w:val="24"/>
          <w:w w:val="100"/>
          <w:spacing w:val="0"/>
          <w:color w:val="000000"/>
          <w:position w:val="0"/>
        </w:rPr>
        <w:t xml:space="preserve">G </w:t>
      </w:r>
      <w:r>
        <w:rPr>
          <w:lang w:val="ru-RU" w:eastAsia="ru-RU" w:bidi="ru-RU"/>
          <w:sz w:val="24"/>
          <w:szCs w:val="24"/>
          <w:w w:val="100"/>
          <w:spacing w:val="0"/>
          <w:color w:val="000000"/>
          <w:position w:val="0"/>
        </w:rPr>
        <w:t>и М к вирусу гепатита С) (извещение № 0371500000520000135) (далее - жалоба).</w:t>
      </w:r>
    </w:p>
    <w:p>
      <w:pPr>
        <w:pStyle w:val="Style13"/>
        <w:widowControl w:val="0"/>
        <w:keepNext w:val="0"/>
        <w:keepLines w:val="0"/>
        <w:shd w:val="clear" w:color="auto" w:fill="auto"/>
        <w:bidi w:val="0"/>
        <w:jc w:val="both"/>
        <w:spacing w:before="0" w:after="0"/>
        <w:ind w:left="40" w:right="40" w:firstLine="700"/>
      </w:pPr>
      <w:r>
        <w:rPr>
          <w:lang w:val="ru-RU" w:eastAsia="ru-RU" w:bidi="ru-RU"/>
          <w:sz w:val="24"/>
          <w:szCs w:val="24"/>
          <w:w w:val="100"/>
          <w:spacing w:val="0"/>
          <w:color w:val="000000"/>
          <w:position w:val="0"/>
        </w:rPr>
        <w:t xml:space="preserve">По мнению заявителя, заказчиком не приняты во внимание положения протокола разногласий, в котором ООО «Синтез» указывало в числе прочего на необходимость конкретизации показателя товара «количество выполняемых тестов» (вместо 192 по первой позиции «Вирус гепатита В поверхностный антиген МВД, набор, иммуноферментный анализ (ИФА) КТРУ 21.20.23.110-00001497» указать 96, вместо 480 по второй позиции «Вирус гепатита С антитела класса иммуноглобулин </w:t>
      </w:r>
      <w:r>
        <w:rPr>
          <w:lang w:val="en-US" w:eastAsia="en-US" w:bidi="en-US"/>
          <w:sz w:val="24"/>
          <w:szCs w:val="24"/>
          <w:w w:val="100"/>
          <w:spacing w:val="0"/>
          <w:color w:val="000000"/>
          <w:position w:val="0"/>
        </w:rPr>
        <w:t xml:space="preserve">G (IgG)/JgM </w:t>
      </w:r>
      <w:r>
        <w:rPr>
          <w:lang w:val="ru-RU" w:eastAsia="ru-RU" w:bidi="ru-RU"/>
          <w:sz w:val="24"/>
          <w:szCs w:val="24"/>
          <w:w w:val="100"/>
          <w:spacing w:val="0"/>
          <w:color w:val="000000"/>
          <w:position w:val="0"/>
        </w:rPr>
        <w:t>ИВ Д. набор, иммуноферментный анализ (ИФА) КТРУ 21.20.23.110-00007766» указать 96) применительно к каждой позиции товара, отраженной в спецификации, являющейся неотъемлемой частью проекта контракта, размещенного в единой информационной системе.</w:t>
      </w:r>
    </w:p>
    <w:p>
      <w:pPr>
        <w:pStyle w:val="Style13"/>
        <w:widowControl w:val="0"/>
        <w:keepNext w:val="0"/>
        <w:keepLines w:val="0"/>
        <w:shd w:val="clear" w:color="auto" w:fill="auto"/>
        <w:bidi w:val="0"/>
        <w:jc w:val="both"/>
        <w:spacing w:before="0" w:after="0"/>
        <w:ind w:left="40" w:right="40" w:firstLine="700"/>
      </w:pPr>
      <w:r>
        <w:rPr>
          <w:lang w:val="ru-RU" w:eastAsia="ru-RU" w:bidi="ru-RU"/>
          <w:sz w:val="24"/>
          <w:szCs w:val="24"/>
          <w:w w:val="100"/>
          <w:spacing w:val="0"/>
          <w:color w:val="000000"/>
          <w:position w:val="0"/>
        </w:rPr>
        <w:t>Таким образом, заявитель просит признать жалобу обоснованной, а действия заказчика незаконными; а также выдать заказчику обязательное для исполнения предписание о внесении изменений в проект контракта с учетом предложения заявителя.</w:t>
      </w:r>
    </w:p>
    <w:p>
      <w:pPr>
        <w:pStyle w:val="Style13"/>
        <w:widowControl w:val="0"/>
        <w:keepNext w:val="0"/>
        <w:keepLines w:val="0"/>
        <w:shd w:val="clear" w:color="auto" w:fill="auto"/>
        <w:bidi w:val="0"/>
        <w:jc w:val="both"/>
        <w:spacing w:before="0" w:after="0"/>
        <w:ind w:left="40" w:right="40" w:firstLine="700"/>
      </w:pPr>
      <w:r>
        <w:rPr>
          <w:lang w:val="ru-RU" w:eastAsia="ru-RU" w:bidi="ru-RU"/>
          <w:sz w:val="24"/>
          <w:szCs w:val="24"/>
          <w:w w:val="100"/>
          <w:spacing w:val="0"/>
          <w:color w:val="000000"/>
          <w:position w:val="0"/>
        </w:rPr>
        <w:t>Представитель заказчика считает жалобу заявителя необоснованной и не подлежащей удовлетворению, представил письменные пояснения по существу жалобы.</w:t>
      </w:r>
    </w:p>
    <w:p>
      <w:pPr>
        <w:pStyle w:val="Style13"/>
        <w:widowControl w:val="0"/>
        <w:keepNext w:val="0"/>
        <w:keepLines w:val="0"/>
        <w:shd w:val="clear" w:color="auto" w:fill="auto"/>
        <w:bidi w:val="0"/>
        <w:jc w:val="both"/>
        <w:spacing w:before="0" w:after="0"/>
        <w:ind w:left="40" w:right="40" w:firstLine="700"/>
      </w:pPr>
      <w:r>
        <w:rPr>
          <w:lang w:val="ru-RU" w:eastAsia="ru-RU" w:bidi="ru-RU"/>
          <w:sz w:val="24"/>
          <w:szCs w:val="24"/>
          <w:w w:val="100"/>
          <w:spacing w:val="0"/>
          <w:color w:val="000000"/>
          <w:position w:val="0"/>
        </w:rPr>
        <w:t>Заслушав мнения сторон и изучив представленные документы и материалы, Комиссия приходит к следующим выводам.</w:t>
      </w:r>
    </w:p>
    <w:p>
      <w:pPr>
        <w:pStyle w:val="Style13"/>
        <w:widowControl w:val="0"/>
        <w:keepNext w:val="0"/>
        <w:keepLines w:val="0"/>
        <w:shd w:val="clear" w:color="auto" w:fill="auto"/>
        <w:bidi w:val="0"/>
        <w:jc w:val="both"/>
        <w:spacing w:before="0" w:after="0"/>
        <w:ind w:left="40" w:right="40" w:firstLine="700"/>
      </w:pPr>
      <w:r>
        <w:rPr>
          <w:lang w:val="ru-RU" w:eastAsia="ru-RU" w:bidi="ru-RU"/>
          <w:sz w:val="24"/>
          <w:szCs w:val="24"/>
          <w:w w:val="100"/>
          <w:spacing w:val="0"/>
          <w:color w:val="000000"/>
          <w:position w:val="0"/>
        </w:rPr>
        <w:t>В соответствии с частью 1 статьи 59 Федерального закона от 05.04.2013 № 44-ФЗ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pPr>
        <w:pStyle w:val="Style13"/>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Порядок заключения контракта урегулирован статьёй 83.2 Федерального закона от 05.04.2013 № 44-ФЗ.</w:t>
      </w:r>
    </w:p>
    <w:p>
      <w:pPr>
        <w:pStyle w:val="Style13"/>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В течение пяти дней с даты размещения в единой информационной системе указанных в части 12 статьи 54.7, части 8 статьи 69, части 8 статьи 82.4, части 23 статьи 83.1 Федерального закона от 05.04.2013 № 44-ФЗ протоколов заказчик размещает в единой информационной системе и на электронной площадке с использованием единой информационной системы без своей подписи проект контракта, который составляется путем включения с использованием единой информационной системы в проект контракта, прилагаемый к документации или извещению о закупке, цены контракта (за исключением части 2.1 статьи 83.2 Федерального закона от 05.04.2013 № 44-ФЗ), предложенной участником закупки, с которым заключается контракт, либо предложения о цене за право заключения контракта в случае, предусмотренном частью 23 статьи 68 Федерального закона от</w:t>
      </w:r>
    </w:p>
    <w:p>
      <w:pPr>
        <w:pStyle w:val="Style13"/>
        <w:numPr>
          <w:ilvl w:val="0"/>
          <w:numId w:val="3"/>
        </w:numPr>
        <w:widowControl w:val="0"/>
        <w:keepNext w:val="0"/>
        <w:keepLines w:val="0"/>
        <w:shd w:val="clear" w:color="auto" w:fill="auto"/>
        <w:bidi w:val="0"/>
        <w:jc w:val="both"/>
        <w:spacing w:before="0" w:after="0"/>
        <w:ind w:left="20" w:right="20" w:firstLine="0"/>
      </w:pPr>
      <w:r>
        <w:rPr>
          <w:lang w:val="ru-RU" w:eastAsia="ru-RU" w:bidi="ru-RU"/>
          <w:sz w:val="24"/>
          <w:szCs w:val="24"/>
          <w:w w:val="100"/>
          <w:spacing w:val="0"/>
          <w:color w:val="000000"/>
          <w:position w:val="0"/>
        </w:rPr>
        <w:t xml:space="preserve"> № 44-ФЗ, а также включения информации о товаре (товарном знаке и (или) конкретных показателях товара), информации, предусмотренной пунктом 2 части 4 статьи 54.4, пунктом 7 части 9 статьи 83.1 Федерального закона от</w:t>
      </w:r>
    </w:p>
    <w:p>
      <w:pPr>
        <w:pStyle w:val="Style13"/>
        <w:numPr>
          <w:ilvl w:val="0"/>
          <w:numId w:val="5"/>
        </w:numPr>
        <w:widowControl w:val="0"/>
        <w:keepNext w:val="0"/>
        <w:keepLines w:val="0"/>
        <w:shd w:val="clear" w:color="auto" w:fill="auto"/>
        <w:bidi w:val="0"/>
        <w:jc w:val="both"/>
        <w:spacing w:before="0" w:after="0"/>
        <w:ind w:left="20" w:right="20" w:firstLine="0"/>
      </w:pPr>
      <w:r>
        <w:rPr>
          <w:lang w:val="ru-RU" w:eastAsia="ru-RU" w:bidi="ru-RU"/>
          <w:sz w:val="24"/>
          <w:szCs w:val="24"/>
          <w:w w:val="100"/>
          <w:spacing w:val="0"/>
          <w:color w:val="000000"/>
          <w:position w:val="0"/>
        </w:rPr>
        <w:t xml:space="preserve"> № 44-ФЗ, указанных в заявке, окончательном предложении участника электронной процедуры (часть 2 статьи 83.2 Федерального закона от 05.04.2013 № 44-ФЗ).</w:t>
      </w:r>
    </w:p>
    <w:p>
      <w:pPr>
        <w:pStyle w:val="Style13"/>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В течение пяти дней с даты размещения заказчиком в единой информационной системе проекта контракта победитель электронной процедуры подписывает усиленной электронной подписью указанный проект контракта, размещает на электронной площадке подписанный проект контракта и документ, подтверждающий предоставление обеспечения исполнения контракта, если данное требование установлено в извещении и (или) документации о закупке, либо размещает протокол разногласий, предусмотренный частью 4 статьи 83.2 Федерального закона от 05.04.2013 № 44-ФЗ; в случае, если при проведении открытого конкурса в электронной форме, конкурса с ограниченным участием в электронной форме, двухэтапного конкурса в электронной форме или электронного аукциона цена контракта, сумма цен единиц товара, работы, услуги снижены на двадцать пять процентов и более от начальной (максимальной) цены контракта, начальной суммы цен единиц товара, работы, услуги, победитель соответствующей электронной процедуры одновременно предоставляет обеспечение исполнения контракта в соответствии с частью 1 статьи 37 Федерального закона от 05.04.2013 № 44-ФЗ или обеспечение исполнения контракта в размере, предусмотренном документацией о соответствующей электронной процедуре, и информацию, предусмотренные частью 2 статьи 37 Федерального закона от 05.04.2013 № 44-ФЗ, а также обоснование цены контракта, суммы цен единиц товара, работы, услуги в соответствии с частью 9 статьи 37 Федерального закона от 05.04.2013 № 44-ФЗ при заключении контракта на поставку товара, необходимого для нормального жизнеобеспечения (продовольствия, средств для скорой, в том числе скорой специализированной, медицинской помощи в экстренной или неотложной форме, лекарственных средств, топлива) (часть 3 статьи 83.2 Федерального закона от 05.04.2013 № 44- ФЗ).</w:t>
      </w:r>
    </w:p>
    <w:p>
      <w:pPr>
        <w:pStyle w:val="Style13"/>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В течение пяти дней с даты размещения заказчиком в единой информационной системе проекта контракта победитель электронной процедуры, с которым заключается контракт, в случае наличия разногласий по проекту контракта, размещенному в соответствии с частью 2 статьи 83.2 Федерального закона от 05.04.2013 № 44-ФЗ, размещает на электронной площадке протокол разногласий, подписанный усиленной электронной подписью лица, имеющего право действовать от имени победителя электронной процедуры; указанный протокол может быть размещен на электронной площадке в отношении соответствующего контракта не более чем один раз; при этом победитель электронной процедуры, с которым заключается контракт, указывает в протоколе разногласий замечания к положениям проекта контракта, не соответствующим документации и (или) извещению о закупке и своей заявке на участие в электронной процедуре, с указанием соответствующих положений данных документов (часть 4 статьи 83.2 Федерального закона от 05.04.2013 № 44-ФЗ).</w:t>
      </w:r>
    </w:p>
    <w:p>
      <w:pPr>
        <w:pStyle w:val="Style13"/>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В течение трех рабочих дней с даты размещения победителем электронного аукциона в единой информационной системе в соответствии с частью 4 статьи 83.2 Федерального закона от 05.04.2013 № 44-ФЗ протокола разногласий заказчик рассматривает протокол разногласий и без своей подписи размещает в единой информационной системе доработанный проект контракта либо повторно размещает в единой информационной системе проект контракта с указанием в отдельном документе причин отказа учесть полностью или частично содержащиеся в протоколе разногласий замечания победителя такого аукциона; при этом размещение в единой информационной системе заказчиком проекта контракта с указанием в отдельном документе причин отказа учесть полностью или частично содержащиеся в протоколе разногласий замечания победителя такого аукциона допускается при условии, что победитель такого аукциона разместил в единой информационной системе протокол разногласий в соответствии с частью 4 статьи 83.2 Федерального закона от 05.04.2013 № 44-ФЗ не позднее чем в течение тринадцати дней с даты размещения в единой информационной системе протокола, указанного в части 8 статьи 69 Федерального закона от 05.04.2013 № 44-ФЗ (часть 5 статьи 83.2 Федерального закона от 05.04.2013 № 44-ФЗ).</w:t>
      </w:r>
    </w:p>
    <w:p>
      <w:pPr>
        <w:pStyle w:val="Style13"/>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В течение трех рабочих дней с даты размещения заказчиком в единой информационной системе и на электронной площадке документов, предусмотренных частью 5 статьи 83.2 Федерального закона от 05.04.2013 № 44- ФЗ, победитель электронной процедуры размещает на электронной площадке проект контракта, подписанный усиленной электронной подписью лица, имеющего право действовать от имени такого победителя, а также документ и (или) информацию в соответствии с частью 3 статьи 83.2 Федерального закона от</w:t>
      </w:r>
    </w:p>
    <w:p>
      <w:pPr>
        <w:pStyle w:val="Style13"/>
        <w:numPr>
          <w:ilvl w:val="0"/>
          <w:numId w:val="7"/>
        </w:numPr>
        <w:widowControl w:val="0"/>
        <w:keepNext w:val="0"/>
        <w:keepLines w:val="0"/>
        <w:shd w:val="clear" w:color="auto" w:fill="auto"/>
        <w:bidi w:val="0"/>
        <w:jc w:val="both"/>
        <w:spacing w:before="0" w:after="0"/>
        <w:ind w:left="20" w:right="20" w:firstLine="0"/>
      </w:pPr>
      <w:r>
        <w:rPr>
          <w:lang w:val="ru-RU" w:eastAsia="ru-RU" w:bidi="ru-RU"/>
          <w:sz w:val="24"/>
          <w:szCs w:val="24"/>
          <w:w w:val="100"/>
          <w:spacing w:val="0"/>
          <w:color w:val="000000"/>
          <w:position w:val="0"/>
        </w:rPr>
        <w:t xml:space="preserve"> № 44-ФЗ, подтверждающие предоставление обеспечения исполнения контракта и подписанные усиленной электронной подписью указанного лица (часть 6 статьи 83.2 Федерального закона от 05.04.2013 № 44-ФЗ).</w:t>
      </w:r>
    </w:p>
    <w:p>
      <w:pPr>
        <w:pStyle w:val="Style13"/>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В течение трех рабочих дней с даты размещения на электронной площадке проекта контракта, подписанного усиленной электронной подписью лица, имеющего право действовать от имени победителя электронной процедуры, и предоставления таким победителем соответствующего требованиям извещения о проведении закупки, документации о закупке обеспечения исполнения контракта заказчик обязан разместить в единой информационной системе и на электронной площадке с использованием единой информационной системы контракт, подписанный усиленной электронной подписью лица, имеющего право действовать от имени заказчика (часть 7 статьи 83.2 Федерального закона от</w:t>
      </w:r>
    </w:p>
    <w:p>
      <w:pPr>
        <w:pStyle w:val="Style13"/>
        <w:numPr>
          <w:ilvl w:val="0"/>
          <w:numId w:val="9"/>
        </w:numPr>
        <w:widowControl w:val="0"/>
        <w:keepNext w:val="0"/>
        <w:keepLines w:val="0"/>
        <w:shd w:val="clear" w:color="auto" w:fill="auto"/>
        <w:bidi w:val="0"/>
        <w:jc w:val="both"/>
        <w:spacing w:before="0" w:after="0"/>
        <w:ind w:left="20" w:right="0" w:firstLine="0"/>
      </w:pPr>
      <w:r>
        <w:rPr>
          <w:lang w:val="ru-RU" w:eastAsia="ru-RU" w:bidi="ru-RU"/>
          <w:sz w:val="24"/>
          <w:szCs w:val="24"/>
          <w:w w:val="100"/>
          <w:spacing w:val="0"/>
          <w:color w:val="000000"/>
          <w:position w:val="0"/>
        </w:rPr>
        <w:t xml:space="preserve"> № 44-ФЗ).</w:t>
      </w:r>
    </w:p>
    <w:p>
      <w:pPr>
        <w:pStyle w:val="Style13"/>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С момента размещения в единой информационной системе предусмотренного частью 7 статьи 83.2 Федерального закона от 05.04.2013 № 44- ФЗ и подписанного заказчиком контракта он считается заключенным (часть 8 статьи 83.2 Федерального закона от 05.04.2013 № 44-ФЗ).</w:t>
      </w:r>
    </w:p>
    <w:p>
      <w:pPr>
        <w:pStyle w:val="Style13"/>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Согласно протоколу рассмотрения заявок на участие в электронном аукционе № 0371500000520000135 от 11.06.2020 участник закупки ООО «Синтез» (идентификационный номер заявки 107669214) допущен аукционной комиссией заказчика к участию в данном аукционе.</w:t>
      </w:r>
    </w:p>
    <w:p>
      <w:pPr>
        <w:pStyle w:val="Style13"/>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 xml:space="preserve">Из представленной на заседании Комиссии первой части заявки на участие в электронном аукционе участника закупки ООО «Синтез» следует, что последний предлагает поставить расходные материалы медицинского назначения, в том числе со следующими значениями показателя «количество выполняемых тестов»: по первой позиции «Вирус гепатита В поверхностный антиген ИВД, набор, иммуноферментный анализ (ИФА) КТРУ 21.20.23.110-00001497» - 192, по второй позиции «Вирус гепатита С антитела класса иммуноглобулин </w:t>
      </w:r>
      <w:r>
        <w:rPr>
          <w:lang w:val="en-US" w:eastAsia="en-US" w:bidi="en-US"/>
          <w:sz w:val="24"/>
          <w:szCs w:val="24"/>
          <w:w w:val="100"/>
          <w:spacing w:val="0"/>
          <w:color w:val="000000"/>
          <w:position w:val="0"/>
        </w:rPr>
        <w:t xml:space="preserve">G (IgG)/IgM </w:t>
      </w:r>
      <w:r>
        <w:rPr>
          <w:lang w:val="ru-RU" w:eastAsia="ru-RU" w:bidi="ru-RU"/>
          <w:sz w:val="24"/>
          <w:szCs w:val="24"/>
          <w:w w:val="100"/>
          <w:spacing w:val="0"/>
          <w:color w:val="000000"/>
          <w:position w:val="0"/>
        </w:rPr>
        <w:t xml:space="preserve">ИВД, набор, иммуноферментный анализ (ИФА) КТРУ 21.20.23.110-00007766» - 480, по третьей позиции «Вирус гепатита С антитела класса иммуноглобулин </w:t>
      </w:r>
      <w:r>
        <w:rPr>
          <w:lang w:val="en-US" w:eastAsia="en-US" w:bidi="en-US"/>
          <w:sz w:val="24"/>
          <w:szCs w:val="24"/>
          <w:w w:val="100"/>
          <w:spacing w:val="0"/>
          <w:color w:val="000000"/>
          <w:position w:val="0"/>
        </w:rPr>
        <w:t xml:space="preserve">G (IgG)/IgM </w:t>
      </w:r>
      <w:r>
        <w:rPr>
          <w:lang w:val="ru-RU" w:eastAsia="ru-RU" w:bidi="ru-RU"/>
          <w:sz w:val="24"/>
          <w:szCs w:val="24"/>
          <w:w w:val="100"/>
          <w:spacing w:val="0"/>
          <w:color w:val="000000"/>
          <w:position w:val="0"/>
        </w:rPr>
        <w:t>ИВД, набор, иммуноферментный анализ (ИФА) КТРУ 21.20.23.110-00007766» - 96.</w:t>
      </w:r>
    </w:p>
    <w:p>
      <w:pPr>
        <w:pStyle w:val="Style13"/>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В соответствии с протоколом подведения итогов электронного аукциона № 0371500000520000135 от 18.06.2020 заявка участника закупки ООО «Синтез» (идентификационный номер заявки 107669214) признана аукционной комиссией заказчика соответствующей требованиям, установленным документацией об электронном аукционе, и данный участник признан победителем аукциона, поскольку предложил наименьшую цену контракта.</w:t>
      </w:r>
    </w:p>
    <w:p>
      <w:pPr>
        <w:pStyle w:val="Style13"/>
        <w:widowControl w:val="0"/>
        <w:keepNext w:val="0"/>
        <w:keepLines w:val="0"/>
        <w:shd w:val="clear" w:color="auto" w:fill="auto"/>
        <w:bidi w:val="0"/>
        <w:jc w:val="both"/>
        <w:spacing w:before="0" w:after="0"/>
        <w:ind w:left="20" w:right="0" w:firstLine="720"/>
      </w:pPr>
      <w:r>
        <w:rPr>
          <w:lang w:val="ru-RU" w:eastAsia="ru-RU" w:bidi="ru-RU"/>
          <w:sz w:val="24"/>
          <w:szCs w:val="24"/>
          <w:w w:val="100"/>
          <w:spacing w:val="0"/>
          <w:color w:val="000000"/>
          <w:position w:val="0"/>
        </w:rPr>
        <w:t>Данные протоколы не оспаривались ООО «Синтез».</w:t>
      </w:r>
    </w:p>
    <w:p>
      <w:pPr>
        <w:pStyle w:val="Style13"/>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 xml:space="preserve">Заказчиком в единой информационной системе и на электронной площадке с использованием единой информационной системы размещен без его подписи проект государственного контракта на поставку расходных материалов медицинского назначения (наборы реагентов для иммуноферментного выявления </w:t>
      </w:r>
      <w:r>
        <w:rPr>
          <w:lang w:val="en-US" w:eastAsia="en-US" w:bidi="en-US"/>
          <w:sz w:val="24"/>
          <w:szCs w:val="24"/>
          <w:w w:val="100"/>
          <w:spacing w:val="0"/>
          <w:color w:val="000000"/>
          <w:position w:val="0"/>
        </w:rPr>
        <w:t xml:space="preserve">HBsAg </w:t>
      </w:r>
      <w:r>
        <w:rPr>
          <w:lang w:val="ru-RU" w:eastAsia="ru-RU" w:bidi="ru-RU"/>
          <w:sz w:val="24"/>
          <w:szCs w:val="24"/>
          <w:w w:val="100"/>
          <w:spacing w:val="0"/>
          <w:color w:val="000000"/>
          <w:position w:val="0"/>
        </w:rPr>
        <w:t xml:space="preserve">и иммуноглобулинов классов </w:t>
      </w:r>
      <w:r>
        <w:rPr>
          <w:lang w:val="en-US" w:eastAsia="en-US" w:bidi="en-US"/>
          <w:sz w:val="24"/>
          <w:szCs w:val="24"/>
          <w:w w:val="100"/>
          <w:spacing w:val="0"/>
          <w:color w:val="000000"/>
          <w:position w:val="0"/>
        </w:rPr>
        <w:t xml:space="preserve">G </w:t>
      </w:r>
      <w:r>
        <w:rPr>
          <w:lang w:val="ru-RU" w:eastAsia="ru-RU" w:bidi="ru-RU"/>
          <w:sz w:val="24"/>
          <w:szCs w:val="24"/>
          <w:w w:val="100"/>
          <w:spacing w:val="0"/>
          <w:color w:val="000000"/>
          <w:position w:val="0"/>
        </w:rPr>
        <w:t>и М к вирусу гепатита С) со спецификацией, являющейся неотъемлемой часть проекта контракта, содержащей значения конкретного показателя «количество выполняемых тестов» в соответствии с заявкой ООО «Синтез» (192 - по первой позиции «Вирус гепатита В поверхностный антиген ИВД, набор, иммуноферментный анализ (ИФА) КТРУ</w:t>
      </w:r>
    </w:p>
    <w:p>
      <w:pPr>
        <w:pStyle w:val="Style13"/>
        <w:numPr>
          <w:ilvl w:val="0"/>
          <w:numId w:val="11"/>
        </w:numPr>
        <w:widowControl w:val="0"/>
        <w:keepNext w:val="0"/>
        <w:keepLines w:val="0"/>
        <w:shd w:val="clear" w:color="auto" w:fill="auto"/>
        <w:bidi w:val="0"/>
        <w:jc w:val="both"/>
        <w:spacing w:before="0" w:after="0"/>
        <w:ind w:left="20" w:right="20" w:firstLine="0"/>
      </w:pPr>
      <w:r>
        <w:rPr>
          <w:lang w:val="ru-RU" w:eastAsia="ru-RU" w:bidi="ru-RU"/>
          <w:sz w:val="24"/>
          <w:szCs w:val="24"/>
          <w:w w:val="100"/>
          <w:spacing w:val="0"/>
          <w:color w:val="000000"/>
          <w:position w:val="0"/>
        </w:rPr>
        <w:t xml:space="preserve">00001497», 480 - по второй позиции «Вирус гепатита С антитела класса иммуноглобулин </w:t>
      </w:r>
      <w:r>
        <w:rPr>
          <w:lang w:val="en-US" w:eastAsia="en-US" w:bidi="en-US"/>
          <w:sz w:val="24"/>
          <w:szCs w:val="24"/>
          <w:w w:val="100"/>
          <w:spacing w:val="0"/>
          <w:color w:val="000000"/>
          <w:position w:val="0"/>
        </w:rPr>
        <w:t xml:space="preserve">G (lgG)/IgM </w:t>
      </w:r>
      <w:r>
        <w:rPr>
          <w:lang w:val="ru-RU" w:eastAsia="ru-RU" w:bidi="ru-RU"/>
          <w:sz w:val="24"/>
          <w:szCs w:val="24"/>
          <w:w w:val="100"/>
          <w:spacing w:val="0"/>
          <w:color w:val="000000"/>
          <w:position w:val="0"/>
        </w:rPr>
        <w:t xml:space="preserve">ИВД, набор, иммуноферментный анализ (ИФА) КТРУ 21.20.23.110-00007766» и 96 - по третьей позиции «Вирус гепатита С антитела класса иммуноглобулин </w:t>
      </w:r>
      <w:r>
        <w:rPr>
          <w:lang w:val="en-US" w:eastAsia="en-US" w:bidi="en-US"/>
          <w:sz w:val="24"/>
          <w:szCs w:val="24"/>
          <w:w w:val="100"/>
          <w:spacing w:val="0"/>
          <w:color w:val="000000"/>
          <w:position w:val="0"/>
        </w:rPr>
        <w:t xml:space="preserve">G (IgG)/IgM </w:t>
      </w:r>
      <w:r>
        <w:rPr>
          <w:lang w:val="ru-RU" w:eastAsia="ru-RU" w:bidi="ru-RU"/>
          <w:sz w:val="24"/>
          <w:szCs w:val="24"/>
          <w:w w:val="100"/>
          <w:spacing w:val="0"/>
          <w:color w:val="000000"/>
          <w:position w:val="0"/>
        </w:rPr>
        <w:t>ИВД, набор, иммуноферментный анализ (ИФА) КТРУ 21.20.23.110-00007766»).</w:t>
      </w:r>
    </w:p>
    <w:p>
      <w:pPr>
        <w:pStyle w:val="Style13"/>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ООО «Синтез» разместило на электронной площадке протокол разногласий в виде проекта государственного контракта, в том числе с измененной спецификацией, являющейся неотъемлемой частью проекта государственного контракта, где в отношении подлежащих поставке расходных материалов медицинского назначения указано следующее: по первой позиции «Вирус гепатита В поверхностный антиген ИВД, набор, иммуноферментный анализ (ИФА) КТРУ</w:t>
      </w:r>
    </w:p>
    <w:p>
      <w:pPr>
        <w:pStyle w:val="Style13"/>
        <w:numPr>
          <w:ilvl w:val="0"/>
          <w:numId w:val="13"/>
        </w:numPr>
        <w:widowControl w:val="0"/>
        <w:keepNext w:val="0"/>
        <w:keepLines w:val="0"/>
        <w:shd w:val="clear" w:color="auto" w:fill="auto"/>
        <w:bidi w:val="0"/>
        <w:jc w:val="both"/>
        <w:spacing w:before="0" w:after="0"/>
        <w:ind w:left="20" w:right="20" w:firstLine="0"/>
      </w:pPr>
      <w:r>
        <w:rPr>
          <w:lang w:val="ru-RU" w:eastAsia="ru-RU" w:bidi="ru-RU"/>
          <w:sz w:val="24"/>
          <w:szCs w:val="24"/>
          <w:w w:val="100"/>
          <w:spacing w:val="0"/>
          <w:color w:val="000000"/>
          <w:position w:val="0"/>
        </w:rPr>
        <w:t xml:space="preserve">00001497» показателю «количество выполняемых тестов» соответствует значение «96»; по второй позиции «Вирус гепатита С антитела класса иммуноглобулин </w:t>
      </w:r>
      <w:r>
        <w:rPr>
          <w:lang w:val="en-US" w:eastAsia="en-US" w:bidi="en-US"/>
          <w:sz w:val="24"/>
          <w:szCs w:val="24"/>
          <w:w w:val="100"/>
          <w:spacing w:val="0"/>
          <w:color w:val="000000"/>
          <w:position w:val="0"/>
        </w:rPr>
        <w:t xml:space="preserve">G (IgG)/IgM </w:t>
      </w:r>
      <w:r>
        <w:rPr>
          <w:lang w:val="ru-RU" w:eastAsia="ru-RU" w:bidi="ru-RU"/>
          <w:sz w:val="24"/>
          <w:szCs w:val="24"/>
          <w:w w:val="100"/>
          <w:spacing w:val="0"/>
          <w:color w:val="000000"/>
          <w:position w:val="0"/>
        </w:rPr>
        <w:t>ИВД, набор, иммуноферментный анализ (ИФА) КТРУ 21.20.23.110-00007766» показателю «количество выполняемых тестов» соответствует значение «96».</w:t>
      </w:r>
    </w:p>
    <w:p>
      <w:pPr>
        <w:pStyle w:val="Style13"/>
        <w:widowControl w:val="0"/>
        <w:keepNext w:val="0"/>
        <w:keepLines w:val="0"/>
        <w:shd w:val="clear" w:color="auto" w:fill="auto"/>
        <w:bidi w:val="0"/>
        <w:jc w:val="both"/>
        <w:spacing w:before="0" w:after="0"/>
        <w:ind w:left="40" w:right="20" w:firstLine="720"/>
      </w:pPr>
      <w:r>
        <w:rPr>
          <w:lang w:val="ru-RU" w:eastAsia="ru-RU" w:bidi="ru-RU"/>
          <w:sz w:val="24"/>
          <w:szCs w:val="24"/>
          <w:w w:val="100"/>
          <w:spacing w:val="0"/>
          <w:color w:val="000000"/>
          <w:position w:val="0"/>
        </w:rPr>
        <w:t>Заказчик, следуя требованиям законодательства о контрактной системе, отказался учесть приведенные положения протокола разногласий (ответ от</w:t>
      </w:r>
    </w:p>
    <w:p>
      <w:pPr>
        <w:pStyle w:val="Style13"/>
        <w:numPr>
          <w:ilvl w:val="0"/>
          <w:numId w:val="15"/>
        </w:numPr>
        <w:tabs>
          <w:tab w:leader="none" w:pos="1343" w:val="left"/>
        </w:tabs>
        <w:widowControl w:val="0"/>
        <w:keepNext w:val="0"/>
        <w:keepLines w:val="0"/>
        <w:shd w:val="clear" w:color="auto" w:fill="auto"/>
        <w:bidi w:val="0"/>
        <w:jc w:val="both"/>
        <w:spacing w:before="0" w:after="0"/>
        <w:ind w:left="40" w:right="20" w:firstLine="0"/>
      </w:pPr>
      <w:r>
        <w:rPr>
          <w:lang w:val="ru-RU" w:eastAsia="ru-RU" w:bidi="ru-RU"/>
          <w:sz w:val="24"/>
          <w:szCs w:val="24"/>
          <w:w w:val="100"/>
          <w:spacing w:val="0"/>
          <w:color w:val="000000"/>
          <w:position w:val="0"/>
        </w:rPr>
        <w:t>№ Б15/01-21), обосновав следующим: «замечания в части указания в спецификации (приложении № 1 к контракту) характеристик товара, отличных от характеристик, указанных в заявке участника, не соответствуют требованиям законодательства и не могут быть приняты заказчиком».</w:t>
      </w:r>
    </w:p>
    <w:p>
      <w:pPr>
        <w:pStyle w:val="Style13"/>
        <w:widowControl w:val="0"/>
        <w:keepNext w:val="0"/>
        <w:keepLines w:val="0"/>
        <w:shd w:val="clear" w:color="auto" w:fill="auto"/>
        <w:bidi w:val="0"/>
        <w:jc w:val="both"/>
        <w:spacing w:before="0" w:after="0"/>
        <w:ind w:left="40" w:right="20" w:firstLine="720"/>
      </w:pPr>
      <w:r>
        <w:rPr>
          <w:lang w:val="ru-RU" w:eastAsia="ru-RU" w:bidi="ru-RU"/>
          <w:sz w:val="24"/>
          <w:szCs w:val="24"/>
          <w:w w:val="100"/>
          <w:spacing w:val="0"/>
          <w:color w:val="000000"/>
          <w:position w:val="0"/>
        </w:rPr>
        <w:t xml:space="preserve">Согласно части 10 статьи 83.2 Федерального закона от 05.04.2013 № 44-ФЗ контракт заключается на условиях, указанных в документации и (или) извещении о закупке, </w:t>
      </w:r>
      <w:r>
        <w:rPr>
          <w:rStyle w:val="CharStyle17"/>
        </w:rPr>
        <w:t>заявке победителя электронной процедуры</w:t>
      </w:r>
      <w:r>
        <w:rPr>
          <w:lang w:val="ru-RU" w:eastAsia="ru-RU" w:bidi="ru-RU"/>
          <w:sz w:val="24"/>
          <w:szCs w:val="24"/>
          <w:w w:val="100"/>
          <w:spacing w:val="0"/>
          <w:color w:val="000000"/>
          <w:position w:val="0"/>
        </w:rPr>
        <w:t>, по цене, предложенной победителем, либо по цене за единицу товара, работы, услуги, рассчитанной в соответствии счастью 2.1 настоящей статьи, и максимальному значению цены контракта.</w:t>
      </w:r>
    </w:p>
    <w:p>
      <w:pPr>
        <w:pStyle w:val="Style13"/>
        <w:widowControl w:val="0"/>
        <w:keepNext w:val="0"/>
        <w:keepLines w:val="0"/>
        <w:shd w:val="clear" w:color="auto" w:fill="auto"/>
        <w:bidi w:val="0"/>
        <w:jc w:val="both"/>
        <w:spacing w:before="0" w:after="0"/>
        <w:ind w:left="40" w:right="20" w:firstLine="720"/>
      </w:pPr>
      <w:r>
        <w:rPr>
          <w:lang w:val="ru-RU" w:eastAsia="ru-RU" w:bidi="ru-RU"/>
          <w:sz w:val="24"/>
          <w:szCs w:val="24"/>
          <w:w w:val="100"/>
          <w:spacing w:val="0"/>
          <w:color w:val="000000"/>
          <w:position w:val="0"/>
        </w:rPr>
        <w:t>Комиссия полагает, что, поскольку в протоколе разногласий, размещенном ООО «Синтез» в единой информационной системе, значения конкретного показателя товара (количество выполняемых тестов) по первой и по второй позициям отличаются от значений этого же конкретного показателя товара по тем же позициям, указанных в заявке ООО «Синтез» на участие в электронном аукционе, действия заказчика, выразившиеся в неучтении замечаний к положениям спецификации, являющейся неотъемлемой частью проекта государственного контракта, являются правомерными.</w:t>
      </w:r>
    </w:p>
    <w:p>
      <w:pPr>
        <w:pStyle w:val="Style13"/>
        <w:widowControl w:val="0"/>
        <w:keepNext w:val="0"/>
        <w:keepLines w:val="0"/>
        <w:shd w:val="clear" w:color="auto" w:fill="auto"/>
        <w:bidi w:val="0"/>
        <w:jc w:val="both"/>
        <w:spacing w:before="0" w:after="0"/>
        <w:ind w:left="40" w:right="20" w:firstLine="720"/>
      </w:pPr>
      <w:r>
        <w:rPr>
          <w:lang w:val="ru-RU" w:eastAsia="ru-RU" w:bidi="ru-RU"/>
          <w:sz w:val="24"/>
          <w:szCs w:val="24"/>
          <w:w w:val="100"/>
          <w:spacing w:val="0"/>
          <w:color w:val="000000"/>
          <w:position w:val="0"/>
        </w:rPr>
        <w:t>На основании изложенного и руководствуясь частью 8 статьи 106 Федерального закона от 05.04.2013г. № 44-ФЗ. Административным регламентом, утвержденным приказом ФАС России от 19.11.2014г. № 727/14, Комиссия Ярославского У ФАС России по кош ролю закупок,</w:t>
      </w:r>
    </w:p>
    <w:p>
      <w:pPr>
        <w:pStyle w:val="Style13"/>
        <w:widowControl w:val="0"/>
        <w:keepNext w:val="0"/>
        <w:keepLines w:val="0"/>
        <w:shd w:val="clear" w:color="auto" w:fill="auto"/>
        <w:bidi w:val="0"/>
        <w:jc w:val="left"/>
        <w:spacing w:before="0" w:after="0"/>
        <w:ind w:left="4600" w:right="0" w:firstLine="0"/>
      </w:pPr>
      <w:r>
        <w:rPr>
          <w:lang w:val="ru-RU" w:eastAsia="ru-RU" w:bidi="ru-RU"/>
          <w:sz w:val="24"/>
          <w:szCs w:val="24"/>
          <w:w w:val="100"/>
          <w:spacing w:val="0"/>
          <w:color w:val="000000"/>
          <w:position w:val="0"/>
        </w:rPr>
        <w:t>решила:</w:t>
      </w:r>
    </w:p>
    <w:p>
      <w:pPr>
        <w:pStyle w:val="Style13"/>
        <w:widowControl w:val="0"/>
        <w:keepNext w:val="0"/>
        <w:keepLines w:val="0"/>
        <w:shd w:val="clear" w:color="auto" w:fill="auto"/>
        <w:bidi w:val="0"/>
        <w:jc w:val="both"/>
        <w:spacing w:before="0" w:after="0"/>
        <w:ind w:left="40" w:right="20" w:firstLine="720"/>
      </w:pPr>
      <w:r>
        <w:rPr>
          <w:lang w:val="ru-RU" w:eastAsia="ru-RU" w:bidi="ru-RU"/>
          <w:sz w:val="24"/>
          <w:szCs w:val="24"/>
          <w:w w:val="100"/>
          <w:spacing w:val="0"/>
          <w:color w:val="000000"/>
          <w:position w:val="0"/>
        </w:rPr>
        <w:t xml:space="preserve">Признать жалобу общества с ограниченной ответственностью «Синтез» (ИНН 5408280794, ОГРН </w:t>
      </w:r>
      <w:r>
        <w:rPr>
          <w:lang w:val="en-US" w:eastAsia="en-US" w:bidi="en-US"/>
          <w:sz w:val="24"/>
          <w:szCs w:val="24"/>
          <w:w w:val="100"/>
          <w:spacing w:val="0"/>
          <w:color w:val="000000"/>
          <w:position w:val="0"/>
        </w:rPr>
        <w:t>1</w:t>
      </w:r>
      <w:r>
        <w:rPr>
          <w:lang w:val="ru-RU" w:eastAsia="ru-RU" w:bidi="ru-RU"/>
          <w:sz w:val="24"/>
          <w:szCs w:val="24"/>
          <w:w w:val="100"/>
          <w:spacing w:val="0"/>
          <w:color w:val="000000"/>
          <w:position w:val="0"/>
        </w:rPr>
        <w:t xml:space="preserve">105476023950) на действия заказчика, государственного бюджетного клинического учреждения здравоохранения Ярославской области «Ярославская областная психиатрическая больница» (ИНН 7606119173, ОГРН 1187627037509), при проведении электронного аукциона на право заключения государственного контракта на поставку расходных материалов медицинского назначения (наборы реагентов для иммуноферментного выявления </w:t>
      </w:r>
      <w:r>
        <w:rPr>
          <w:lang w:val="en-US" w:eastAsia="en-US" w:bidi="en-US"/>
          <w:sz w:val="24"/>
          <w:szCs w:val="24"/>
          <w:w w:val="100"/>
          <w:spacing w:val="0"/>
          <w:color w:val="000000"/>
          <w:position w:val="0"/>
        </w:rPr>
        <w:t xml:space="preserve">HBsAg </w:t>
      </w:r>
      <w:r>
        <w:rPr>
          <w:lang w:val="ru-RU" w:eastAsia="ru-RU" w:bidi="ru-RU"/>
          <w:sz w:val="24"/>
          <w:szCs w:val="24"/>
          <w:w w:val="100"/>
          <w:spacing w:val="0"/>
          <w:color w:val="000000"/>
          <w:position w:val="0"/>
        </w:rPr>
        <w:t xml:space="preserve">и иммуноглобулинов классов </w:t>
      </w:r>
      <w:r>
        <w:rPr>
          <w:lang w:val="en-US" w:eastAsia="en-US" w:bidi="en-US"/>
          <w:sz w:val="24"/>
          <w:szCs w:val="24"/>
          <w:w w:val="100"/>
          <w:spacing w:val="0"/>
          <w:color w:val="000000"/>
          <w:position w:val="0"/>
        </w:rPr>
        <w:t xml:space="preserve">G </w:t>
      </w:r>
      <w:r>
        <w:rPr>
          <w:lang w:val="ru-RU" w:eastAsia="ru-RU" w:bidi="ru-RU"/>
          <w:sz w:val="24"/>
          <w:szCs w:val="24"/>
          <w:w w:val="100"/>
          <w:spacing w:val="0"/>
          <w:color w:val="000000"/>
          <w:position w:val="0"/>
        </w:rPr>
        <w:t>и М к вирусу гепатита С) (извещение № 0371500000520000135), необоснованной.</w:t>
      </w:r>
    </w:p>
    <w:p>
      <w:pPr>
        <w:pStyle w:val="Style13"/>
        <w:widowControl w:val="0"/>
        <w:keepNext w:val="0"/>
        <w:keepLines w:val="0"/>
        <w:shd w:val="clear" w:color="auto" w:fill="auto"/>
        <w:bidi w:val="0"/>
        <w:jc w:val="both"/>
        <w:spacing w:before="0" w:after="287"/>
        <w:ind w:left="40" w:right="20" w:firstLine="720"/>
      </w:pPr>
      <w:r>
        <w:rPr>
          <w:lang w:val="ru-RU" w:eastAsia="ru-RU" w:bidi="ru-RU"/>
          <w:sz w:val="24"/>
          <w:szCs w:val="24"/>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13"/>
        <w:widowControl w:val="0"/>
        <w:keepNext w:val="0"/>
        <w:keepLines w:val="0"/>
        <w:shd w:val="clear" w:color="auto" w:fill="auto"/>
        <w:bidi w:val="0"/>
        <w:jc w:val="both"/>
        <w:spacing w:before="0" w:after="296" w:line="240" w:lineRule="exact"/>
        <w:ind w:left="40" w:right="0" w:firstLine="0"/>
      </w:pPr>
      <w:r>
        <w:rPr>
          <w:lang w:val="ru-RU" w:eastAsia="ru-RU" w:bidi="ru-RU"/>
          <w:sz w:val="24"/>
          <w:szCs w:val="24"/>
          <w:w w:val="100"/>
          <w:spacing w:val="0"/>
          <w:color w:val="000000"/>
          <w:position w:val="0"/>
        </w:rPr>
        <w:t>Председатель Комиссии</w:t>
      </w:r>
    </w:p>
    <w:p>
      <w:pPr>
        <w:pStyle w:val="Style13"/>
        <w:widowControl w:val="0"/>
        <w:keepNext w:val="0"/>
        <w:keepLines w:val="0"/>
        <w:shd w:val="clear" w:color="auto" w:fill="auto"/>
        <w:bidi w:val="0"/>
        <w:jc w:val="both"/>
        <w:spacing w:before="0" w:after="0" w:line="240" w:lineRule="exact"/>
        <w:ind w:left="40" w:right="0" w:firstLine="0"/>
      </w:pPr>
      <w:r>
        <w:rPr>
          <w:lang w:val="ru-RU" w:eastAsia="ru-RU" w:bidi="ru-RU"/>
          <w:sz w:val="24"/>
          <w:szCs w:val="24"/>
          <w:w w:val="100"/>
          <w:spacing w:val="0"/>
          <w:color w:val="000000"/>
          <w:position w:val="0"/>
        </w:rPr>
        <w:t>Члены Комиссии:</w:t>
      </w:r>
    </w:p>
    <w:sectPr>
      <w:footnotePr>
        <w:pos w:val="pageBottom"/>
        <w:numFmt w:val="decimal"/>
        <w:numRestart w:val="continuous"/>
      </w:footnotePr>
      <w:type w:val="continuous"/>
      <w:pgSz w:w="11906" w:h="16838"/>
      <w:pgMar w:top="1135" w:left="805" w:right="805" w:bottom="591" w:header="0" w:footer="3" w:gutter="875"/>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0"/>
      <w:numFmt w:val="decimal"/>
      <w:lvlText w:val="03.07.%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2013"/>
      <w:numFmt w:val="decimal"/>
      <w:lvlText w:val="05.04.%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2013"/>
      <w:numFmt w:val="decimal"/>
      <w:lvlText w:val="05.04.%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2013"/>
      <w:numFmt w:val="decimal"/>
      <w:lvlText w:val="05.04.%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8">
    <w:multiLevelType w:val="multilevel"/>
    <w:lvl w:ilvl="0">
      <w:start w:val="2013"/>
      <w:numFmt w:val="decimal"/>
      <w:lvlText w:val="05.04.%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0">
    <w:multiLevelType w:val="multilevel"/>
    <w:lvl w:ilvl="0">
      <w:start w:val="110"/>
      <w:numFmt w:val="decimal"/>
      <w:lvlText w:val="21.20.23.%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2">
    <w:multiLevelType w:val="multilevel"/>
    <w:lvl w:ilvl="0">
      <w:start w:val="110"/>
      <w:numFmt w:val="decimal"/>
      <w:lvlText w:val="21.20.23.%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4">
    <w:multiLevelType w:val="multilevel"/>
    <w:lvl w:ilvl="0">
      <w:start w:val="2020"/>
      <w:numFmt w:val="decimal"/>
      <w:lvlText w:val="03.07.%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link w:val="Style3"/>
    <w:rPr>
      <w:b/>
      <w:bCs/>
      <w:i w:val="0"/>
      <w:iCs w:val="0"/>
      <w:u w:val="none"/>
      <w:strike w:val="0"/>
      <w:smallCaps w:val="0"/>
      <w:sz w:val="20"/>
      <w:szCs w:val="20"/>
      <w:rFonts w:ascii="Times New Roman" w:eastAsia="Times New Roman" w:hAnsi="Times New Roman" w:cs="Times New Roman"/>
      <w:spacing w:val="-1"/>
    </w:rPr>
  </w:style>
  <w:style w:type="character" w:customStyle="1" w:styleId="CharStyle5">
    <w:name w:val="Основной текст (2) Exact"/>
    <w:basedOn w:val="CharStyle4"/>
    <w:rPr>
      <w:lang w:val="ru-RU" w:eastAsia="ru-RU" w:bidi="ru-RU"/>
      <w:w w:val="100"/>
      <w:color w:val="000000"/>
      <w:position w:val="0"/>
    </w:rPr>
  </w:style>
  <w:style w:type="character" w:customStyle="1" w:styleId="CharStyle7">
    <w:name w:val="Основной текст (3) Exact"/>
    <w:basedOn w:val="DefaultParagraphFont"/>
    <w:link w:val="Style6"/>
    <w:rPr>
      <w:b/>
      <w:bCs/>
      <w:i w:val="0"/>
      <w:iCs w:val="0"/>
      <w:u w:val="none"/>
      <w:strike w:val="0"/>
      <w:smallCaps w:val="0"/>
      <w:sz w:val="23"/>
      <w:szCs w:val="23"/>
      <w:rFonts w:ascii="Times New Roman" w:eastAsia="Times New Roman" w:hAnsi="Times New Roman" w:cs="Times New Roman"/>
      <w:spacing w:val="2"/>
    </w:rPr>
  </w:style>
  <w:style w:type="character" w:customStyle="1" w:styleId="CharStyle8">
    <w:name w:val="Основной текст (3) Exact"/>
    <w:basedOn w:val="CharStyle7"/>
    <w:rPr>
      <w:lang w:val="ru-RU" w:eastAsia="ru-RU" w:bidi="ru-RU"/>
      <w:w w:val="100"/>
      <w:color w:val="000000"/>
      <w:position w:val="0"/>
    </w:rPr>
  </w:style>
  <w:style w:type="character" w:customStyle="1" w:styleId="CharStyle10">
    <w:name w:val="Основной текст (4) Exact"/>
    <w:basedOn w:val="DefaultParagraphFont"/>
    <w:link w:val="Style9"/>
    <w:rPr>
      <w:b w:val="0"/>
      <w:bCs w:val="0"/>
      <w:i w:val="0"/>
      <w:iCs w:val="0"/>
      <w:u w:val="none"/>
      <w:strike w:val="0"/>
      <w:smallCaps w:val="0"/>
      <w:sz w:val="16"/>
      <w:szCs w:val="16"/>
      <w:rFonts w:ascii="Times New Roman" w:eastAsia="Times New Roman" w:hAnsi="Times New Roman" w:cs="Times New Roman"/>
      <w:spacing w:val="1"/>
    </w:rPr>
  </w:style>
  <w:style w:type="character" w:customStyle="1" w:styleId="CharStyle11">
    <w:name w:val="Основной текст (4) Exact"/>
    <w:basedOn w:val="CharStyle10"/>
    <w:rPr>
      <w:lang w:val="ru-RU" w:eastAsia="ru-RU" w:bidi="ru-RU"/>
      <w:w w:val="100"/>
      <w:color w:val="000000"/>
      <w:position w:val="0"/>
    </w:rPr>
  </w:style>
  <w:style w:type="character" w:customStyle="1" w:styleId="CharStyle12">
    <w:name w:val="Основной текст (2) Exact"/>
    <w:basedOn w:val="CharStyle4"/>
    <w:rPr>
      <w:lang w:val="ru-RU" w:eastAsia="ru-RU" w:bidi="ru-RU"/>
      <w:w w:val="100"/>
      <w:color w:val="000000"/>
      <w:position w:val="0"/>
    </w:rPr>
  </w:style>
  <w:style w:type="character" w:customStyle="1" w:styleId="CharStyle14">
    <w:name w:val="Основной текст_"/>
    <w:basedOn w:val="DefaultParagraphFont"/>
    <w:link w:val="Style13"/>
    <w:rPr>
      <w:b w:val="0"/>
      <w:bCs w:val="0"/>
      <w:i w:val="0"/>
      <w:iCs w:val="0"/>
      <w:u w:val="none"/>
      <w:strike w:val="0"/>
      <w:smallCaps w:val="0"/>
      <w:rFonts w:ascii="Times New Roman" w:eastAsia="Times New Roman" w:hAnsi="Times New Roman" w:cs="Times New Roman"/>
    </w:rPr>
  </w:style>
  <w:style w:type="character" w:customStyle="1" w:styleId="CharStyle16">
    <w:name w:val="Заголовок №1_"/>
    <w:basedOn w:val="DefaultParagraphFont"/>
    <w:link w:val="Style15"/>
    <w:rPr>
      <w:b/>
      <w:bCs/>
      <w:i w:val="0"/>
      <w:iCs w:val="0"/>
      <w:u w:val="none"/>
      <w:strike w:val="0"/>
      <w:smallCaps w:val="0"/>
      <w:sz w:val="26"/>
      <w:szCs w:val="26"/>
      <w:spacing w:val="30"/>
    </w:rPr>
  </w:style>
  <w:style w:type="character" w:customStyle="1" w:styleId="CharStyle17">
    <w:name w:val="Основной текст"/>
    <w:basedOn w:val="CharStyle14"/>
    <w:rPr>
      <w:lang w:val="ru-RU" w:eastAsia="ru-RU" w:bidi="ru-RU"/>
      <w:u w:val="single"/>
      <w:sz w:val="24"/>
      <w:szCs w:val="24"/>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after="60" w:line="256" w:lineRule="exact"/>
    </w:pPr>
    <w:rPr>
      <w:b/>
      <w:bCs/>
      <w:i w:val="0"/>
      <w:iCs w:val="0"/>
      <w:u w:val="none"/>
      <w:strike w:val="0"/>
      <w:smallCaps w:val="0"/>
      <w:sz w:val="20"/>
      <w:szCs w:val="20"/>
      <w:rFonts w:ascii="Times New Roman" w:eastAsia="Times New Roman" w:hAnsi="Times New Roman" w:cs="Times New Roman"/>
      <w:spacing w:val="-1"/>
    </w:rPr>
  </w:style>
  <w:style w:type="paragraph" w:customStyle="1" w:styleId="Style6">
    <w:name w:val="Основной текст (3)"/>
    <w:basedOn w:val="Normal"/>
    <w:link w:val="CharStyle7"/>
    <w:pPr>
      <w:widowControl w:val="0"/>
      <w:shd w:val="clear" w:color="auto" w:fill="FFFFFF"/>
      <w:spacing w:before="60" w:after="60" w:line="299" w:lineRule="exact"/>
      <w:ind w:firstLine="1600"/>
    </w:pPr>
    <w:rPr>
      <w:b/>
      <w:bCs/>
      <w:i w:val="0"/>
      <w:iCs w:val="0"/>
      <w:u w:val="none"/>
      <w:strike w:val="0"/>
      <w:smallCaps w:val="0"/>
      <w:sz w:val="23"/>
      <w:szCs w:val="23"/>
      <w:rFonts w:ascii="Times New Roman" w:eastAsia="Times New Roman" w:hAnsi="Times New Roman" w:cs="Times New Roman"/>
      <w:spacing w:val="2"/>
    </w:rPr>
  </w:style>
  <w:style w:type="paragraph" w:customStyle="1" w:styleId="Style9">
    <w:name w:val="Основной текст (4)"/>
    <w:basedOn w:val="Normal"/>
    <w:link w:val="CharStyle10"/>
    <w:pPr>
      <w:widowControl w:val="0"/>
      <w:shd w:val="clear" w:color="auto" w:fill="FFFFFF"/>
      <w:jc w:val="center"/>
      <w:spacing w:before="60" w:after="720" w:line="209" w:lineRule="exact"/>
    </w:pPr>
    <w:rPr>
      <w:b w:val="0"/>
      <w:bCs w:val="0"/>
      <w:i w:val="0"/>
      <w:iCs w:val="0"/>
      <w:u w:val="none"/>
      <w:strike w:val="0"/>
      <w:smallCaps w:val="0"/>
      <w:sz w:val="16"/>
      <w:szCs w:val="16"/>
      <w:rFonts w:ascii="Times New Roman" w:eastAsia="Times New Roman" w:hAnsi="Times New Roman" w:cs="Times New Roman"/>
      <w:spacing w:val="1"/>
    </w:rPr>
  </w:style>
  <w:style w:type="paragraph" w:customStyle="1" w:styleId="Style13">
    <w:name w:val="Основной текст"/>
    <w:basedOn w:val="Normal"/>
    <w:link w:val="CharStyle14"/>
    <w:pPr>
      <w:widowControl w:val="0"/>
      <w:shd w:val="clear" w:color="auto" w:fill="FFFFFF"/>
      <w:jc w:val="right"/>
      <w:spacing w:line="299" w:lineRule="exact"/>
    </w:pPr>
    <w:rPr>
      <w:b w:val="0"/>
      <w:bCs w:val="0"/>
      <w:i w:val="0"/>
      <w:iCs w:val="0"/>
      <w:u w:val="none"/>
      <w:strike w:val="0"/>
      <w:smallCaps w:val="0"/>
      <w:rFonts w:ascii="Times New Roman" w:eastAsia="Times New Roman" w:hAnsi="Times New Roman" w:cs="Times New Roman"/>
    </w:rPr>
  </w:style>
  <w:style w:type="paragraph" w:customStyle="1" w:styleId="Style15">
    <w:name w:val="Заголовок №1"/>
    <w:basedOn w:val="Normal"/>
    <w:link w:val="CharStyle16"/>
    <w:pPr>
      <w:widowControl w:val="0"/>
      <w:shd w:val="clear" w:color="auto" w:fill="FFFFFF"/>
      <w:outlineLvl w:val="0"/>
      <w:spacing w:before="540" w:line="0" w:lineRule="exact"/>
    </w:pPr>
    <w:rPr>
      <w:b/>
      <w:bCs/>
      <w:i w:val="0"/>
      <w:iCs w:val="0"/>
      <w:u w:val="none"/>
      <w:strike w:val="0"/>
      <w:smallCaps w:val="0"/>
      <w:sz w:val="26"/>
      <w:szCs w:val="26"/>
      <w:spacing w:val="3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